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bidi w:val="0"/>
        <w:jc w:val="center"/>
        <w:rPr>
          <w:rFonts w:hint="default" w:ascii="Times New Roman" w:hAnsi="Times New Roman" w:cs="Times New Roman"/>
          <w:color w:val="auto"/>
          <w:sz w:val="32"/>
          <w:szCs w:val="32"/>
          <w:lang w:val="en-US" w:eastAsia="zh-CN"/>
        </w:rPr>
      </w:pPr>
      <w:r>
        <w:rPr>
          <w:rFonts w:hint="default" w:ascii="Times New Roman" w:hAnsi="Times New Roman" w:eastAsia="宋体" w:cs="Times New Roman"/>
          <w:b/>
          <w:bCs/>
          <w:color w:val="auto"/>
          <w:sz w:val="28"/>
          <w:szCs w:val="28"/>
          <w:lang w:val="en-US" w:eastAsia="zh-CN"/>
        </w:rPr>
        <w:t>华天路新建工程项目</w:t>
      </w:r>
    </w:p>
    <w:p>
      <w:pPr>
        <w:bidi w:val="0"/>
        <w:jc w:val="center"/>
        <w:rPr>
          <w:rFonts w:hint="default" w:ascii="Times New Roman" w:hAnsi="Times New Roman" w:eastAsia="黑体" w:cs="Times New Roman"/>
          <w:color w:val="auto"/>
          <w:sz w:val="72"/>
          <w:szCs w:val="72"/>
          <w:lang w:val="en-US" w:eastAsia="zh-CN"/>
        </w:rPr>
      </w:pPr>
      <w:r>
        <w:rPr>
          <w:rFonts w:hint="default" w:ascii="Times New Roman" w:hAnsi="Times New Roman" w:eastAsia="黑体" w:cs="Times New Roman"/>
          <w:color w:val="auto"/>
          <w:sz w:val="72"/>
          <w:szCs w:val="72"/>
          <w:lang w:val="en-US" w:eastAsia="zh-CN"/>
        </w:rPr>
        <w:t>水土保持监测实施方案</w:t>
      </w: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rPr>
          <w:rFonts w:hint="default" w:ascii="Times New Roman" w:hAnsi="Times New Roman" w:cs="Times New Roman"/>
          <w:color w:val="auto"/>
          <w:lang w:val="en-US" w:eastAsia="zh-CN"/>
        </w:rPr>
      </w:pPr>
    </w:p>
    <w:p>
      <w:pPr>
        <w:bidi w:val="0"/>
        <w:spacing w:line="360" w:lineRule="auto"/>
        <w:ind w:firstLine="1280" w:firstLineChars="400"/>
        <w:jc w:val="both"/>
        <w:rPr>
          <w:rFonts w:hint="default" w:ascii="Times New Roman" w:hAnsi="Times New Roman" w:eastAsia="宋体" w:cs="Times New Roman"/>
          <w:color w:val="auto"/>
          <w:sz w:val="32"/>
          <w:szCs w:val="32"/>
          <w:lang w:val="en-US" w:eastAsia="zh-CN"/>
        </w:rPr>
      </w:pPr>
      <w:r>
        <w:rPr>
          <w:rFonts w:hint="default" w:ascii="Times New Roman" w:hAnsi="Times New Roman" w:eastAsia="宋体" w:cs="Times New Roman"/>
          <w:color w:val="auto"/>
          <w:sz w:val="32"/>
          <w:szCs w:val="32"/>
          <w:lang w:val="en-US" w:eastAsia="zh-CN"/>
        </w:rPr>
        <w:t>建设单位：衡阳市城市建设投资有限公司</w:t>
      </w:r>
    </w:p>
    <w:p>
      <w:pPr>
        <w:bidi w:val="0"/>
        <w:spacing w:line="360" w:lineRule="auto"/>
        <w:ind w:firstLine="1280" w:firstLineChars="400"/>
        <w:jc w:val="both"/>
        <w:rPr>
          <w:rFonts w:hint="default" w:ascii="Times New Roman" w:hAnsi="Times New Roman" w:eastAsia="宋体" w:cs="Times New Roman"/>
          <w:color w:val="auto"/>
          <w:sz w:val="32"/>
          <w:szCs w:val="32"/>
          <w:lang w:val="en-US" w:eastAsia="zh-CN"/>
        </w:rPr>
      </w:pPr>
      <w:r>
        <w:rPr>
          <w:rFonts w:hint="default" w:ascii="Times New Roman" w:hAnsi="Times New Roman" w:eastAsia="宋体" w:cs="Times New Roman"/>
          <w:color w:val="auto"/>
          <w:sz w:val="32"/>
          <w:szCs w:val="32"/>
          <w:lang w:val="en-US" w:eastAsia="zh-CN"/>
        </w:rPr>
        <w:t>监测单位：湖南华意项目管理有限公司</w:t>
      </w:r>
    </w:p>
    <w:p>
      <w:pPr>
        <w:bidi w:val="0"/>
        <w:spacing w:line="360" w:lineRule="auto"/>
        <w:jc w:val="both"/>
        <w:rPr>
          <w:rFonts w:hint="default" w:ascii="Times New Roman" w:hAnsi="Times New Roman" w:eastAsia="宋体" w:cs="Times New Roman"/>
          <w:color w:val="auto"/>
          <w:sz w:val="32"/>
          <w:szCs w:val="32"/>
          <w:lang w:val="en-US" w:eastAsia="zh-CN"/>
        </w:rPr>
      </w:pPr>
    </w:p>
    <w:p>
      <w:pPr>
        <w:bidi w:val="0"/>
        <w:spacing w:line="360" w:lineRule="auto"/>
        <w:jc w:val="both"/>
        <w:rPr>
          <w:rFonts w:hint="default" w:ascii="Times New Roman" w:hAnsi="Times New Roman" w:eastAsia="宋体" w:cs="Times New Roman"/>
          <w:color w:val="auto"/>
          <w:sz w:val="32"/>
          <w:szCs w:val="32"/>
          <w:lang w:val="en-US" w:eastAsia="zh-CN"/>
        </w:rPr>
      </w:pPr>
    </w:p>
    <w:p>
      <w:pPr>
        <w:bidi w:val="0"/>
        <w:spacing w:line="360" w:lineRule="auto"/>
        <w:jc w:val="center"/>
        <w:rPr>
          <w:rFonts w:hint="default" w:ascii="Times New Roman" w:hAnsi="Times New Roman" w:eastAsia="宋体" w:cs="Times New Roman"/>
          <w:color w:val="auto"/>
          <w:sz w:val="32"/>
          <w:szCs w:val="32"/>
          <w:lang w:val="en-US" w:eastAsia="zh-CN"/>
        </w:rPr>
        <w:sectPr>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color w:val="auto"/>
          <w:sz w:val="32"/>
          <w:szCs w:val="32"/>
          <w:lang w:val="en-US" w:eastAsia="zh-CN"/>
        </w:rPr>
        <w:t>2021年12月</w:t>
      </w:r>
    </w:p>
    <w:p>
      <w:pPr>
        <w:pStyle w:val="2"/>
        <w:bidi w:val="0"/>
        <w:spacing w:line="360" w:lineRule="auto"/>
        <w:jc w:val="center"/>
        <w:outlineLvl w:val="9"/>
        <w:rPr>
          <w:rFonts w:hint="default" w:ascii="Times New Roman" w:hAnsi="Times New Roman" w:cs="Times New Roman"/>
          <w:color w:val="auto"/>
          <w:sz w:val="32"/>
          <w:szCs w:val="32"/>
          <w:lang w:val="en-US" w:eastAsia="zh-CN"/>
        </w:rPr>
      </w:pPr>
    </w:p>
    <w:p>
      <w:pPr>
        <w:pStyle w:val="2"/>
        <w:bidi w:val="0"/>
        <w:spacing w:line="240" w:lineRule="auto"/>
        <w:jc w:val="center"/>
        <w:rPr>
          <w:rFonts w:hint="default" w:ascii="Times New Roman" w:hAnsi="Times New Roman" w:cs="Times New Roman"/>
          <w:color w:val="auto"/>
          <w:sz w:val="32"/>
          <w:szCs w:val="32"/>
          <w:lang w:val="en-US" w:eastAsia="zh-CN"/>
        </w:rPr>
      </w:pPr>
      <w:bookmarkStart w:id="0" w:name="_Toc14675"/>
      <w:bookmarkStart w:id="1" w:name="_Toc25043"/>
      <w:bookmarkStart w:id="2" w:name="_Toc16378"/>
      <w:r>
        <w:rPr>
          <w:rFonts w:hint="default" w:ascii="Times New Roman" w:hAnsi="Times New Roman" w:cs="Times New Roman"/>
          <w:color w:val="auto"/>
          <w:sz w:val="32"/>
          <w:szCs w:val="32"/>
          <w:lang w:val="en-US" w:eastAsia="zh-CN"/>
        </w:rPr>
        <w:t>华天路新建工程项目水土保持监测</w:t>
      </w:r>
      <w:bookmarkEnd w:id="0"/>
      <w:bookmarkEnd w:id="1"/>
      <w:bookmarkEnd w:id="2"/>
    </w:p>
    <w:p>
      <w:pPr>
        <w:pStyle w:val="2"/>
        <w:bidi w:val="0"/>
        <w:spacing w:line="240" w:lineRule="auto"/>
        <w:jc w:val="center"/>
        <w:rPr>
          <w:rFonts w:hint="default" w:ascii="Times New Roman" w:hAnsi="Times New Roman" w:cs="Times New Roman"/>
          <w:color w:val="auto"/>
          <w:sz w:val="32"/>
          <w:szCs w:val="32"/>
          <w:lang w:val="en-US" w:eastAsia="zh-CN"/>
        </w:rPr>
      </w:pPr>
      <w:bookmarkStart w:id="3" w:name="_Toc5459"/>
      <w:bookmarkStart w:id="4" w:name="_Toc27365"/>
      <w:bookmarkStart w:id="5" w:name="_Toc6303"/>
      <w:r>
        <w:rPr>
          <w:rFonts w:hint="default" w:ascii="Times New Roman" w:hAnsi="Times New Roman" w:cs="Times New Roman"/>
          <w:color w:val="auto"/>
          <w:sz w:val="32"/>
          <w:szCs w:val="32"/>
          <w:lang w:val="en-US" w:eastAsia="zh-CN"/>
        </w:rPr>
        <w:t>责任页</w:t>
      </w:r>
      <w:bookmarkEnd w:id="3"/>
      <w:bookmarkEnd w:id="4"/>
      <w:bookmarkEnd w:id="5"/>
    </w:p>
    <w:p>
      <w:pPr>
        <w:jc w:val="center"/>
        <w:rPr>
          <w:rFonts w:hint="default" w:ascii="Times New Roman" w:hAnsi="Times New Roman" w:cs="Times New Roman"/>
          <w:color w:val="auto"/>
          <w:sz w:val="32"/>
          <w:szCs w:val="32"/>
          <w:lang w:val="en-US" w:eastAsia="zh-CN"/>
        </w:rPr>
      </w:pPr>
      <w:r>
        <w:rPr>
          <w:rFonts w:hint="default" w:ascii="Times New Roman" w:hAnsi="Times New Roman" w:cs="Times New Roman"/>
          <w:color w:val="auto"/>
          <w:sz w:val="32"/>
          <w:szCs w:val="32"/>
          <w:lang w:val="en-US" w:eastAsia="zh-CN"/>
        </w:rPr>
        <w:t>（湖南华意项目管理有限公司）</w:t>
      </w:r>
    </w:p>
    <w:p>
      <w:pPr>
        <w:jc w:val="both"/>
        <w:rPr>
          <w:rFonts w:hint="default" w:ascii="Times New Roman" w:hAnsi="Times New Roman" w:cs="Times New Roman"/>
          <w:color w:val="auto"/>
          <w:sz w:val="32"/>
          <w:szCs w:val="32"/>
          <w:lang w:val="en-US" w:eastAsia="zh-CN"/>
        </w:rPr>
      </w:pPr>
    </w:p>
    <w:p>
      <w:pPr>
        <w:jc w:val="both"/>
        <w:rPr>
          <w:rFonts w:hint="default" w:ascii="Times New Roman" w:hAnsi="Times New Roman" w:cs="Times New Roman"/>
          <w:color w:val="auto"/>
          <w:sz w:val="32"/>
          <w:szCs w:val="32"/>
          <w:lang w:val="en-US" w:eastAsia="zh-CN"/>
        </w:rPr>
      </w:pPr>
    </w:p>
    <w:p>
      <w:pPr>
        <w:spacing w:line="360" w:lineRule="auto"/>
        <w:jc w:val="both"/>
        <w:rPr>
          <w:rFonts w:hint="default" w:ascii="Times New Roman" w:hAnsi="Times New Roman" w:cs="Times New Roman"/>
          <w:color w:val="auto"/>
          <w:sz w:val="32"/>
          <w:szCs w:val="32"/>
          <w:lang w:val="en-US" w:eastAsia="zh-CN"/>
        </w:rPr>
      </w:pPr>
    </w:p>
    <w:p>
      <w:pPr>
        <w:spacing w:line="360" w:lineRule="auto"/>
        <w:jc w:val="both"/>
        <w:rPr>
          <w:rFonts w:hint="default" w:ascii="Times New Roman" w:hAnsi="Times New Roman" w:cs="Times New Roman"/>
          <w:color w:val="auto"/>
          <w:sz w:val="32"/>
          <w:szCs w:val="32"/>
          <w:lang w:val="en-US" w:eastAsia="zh-CN"/>
        </w:rPr>
      </w:pPr>
      <w:r>
        <w:rPr>
          <w:rFonts w:hint="default" w:ascii="Times New Roman" w:hAnsi="Times New Roman" w:cs="Times New Roman"/>
          <w:color w:val="auto"/>
          <w:sz w:val="32"/>
          <w:szCs w:val="32"/>
          <w:lang w:val="en-US" w:eastAsia="zh-CN"/>
        </w:rPr>
        <w:t>批准：</w:t>
      </w:r>
      <w:r>
        <w:rPr>
          <w:rFonts w:hint="default" w:ascii="Times New Roman" w:hAnsi="Times New Roman" w:cs="Times New Roman"/>
          <w:color w:val="auto"/>
          <w:sz w:val="32"/>
          <w:szCs w:val="32"/>
          <w:lang w:val="en-US" w:eastAsia="zh-CN"/>
        </w:rPr>
        <w:drawing>
          <wp:inline distT="0" distB="0" distL="114300" distR="114300">
            <wp:extent cx="603885" cy="220345"/>
            <wp:effectExtent l="0" t="0" r="5715" b="8255"/>
            <wp:docPr id="39" name="图片 39" descr="莫俊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9" name="图片 39" descr="莫俊华"/>
                    <pic:cNvPicPr>
                      <a:picLocks noChangeAspect="1"/>
                    </pic:cNvPicPr>
                  </pic:nvPicPr>
                  <pic:blipFill>
                    <a:blip r:embed="rId36"/>
                    <a:stretch>
                      <a:fillRect/>
                    </a:stretch>
                  </pic:blipFill>
                  <pic:spPr>
                    <a:xfrm>
                      <a:off x="0" y="0"/>
                      <a:ext cx="603885" cy="220345"/>
                    </a:xfrm>
                    <a:prstGeom prst="rect">
                      <a:avLst/>
                    </a:prstGeom>
                  </pic:spPr>
                </pic:pic>
              </a:graphicData>
            </a:graphic>
          </wp:inline>
        </w:drawing>
      </w:r>
    </w:p>
    <w:p>
      <w:pPr>
        <w:spacing w:line="360" w:lineRule="auto"/>
        <w:jc w:val="both"/>
        <w:rPr>
          <w:rFonts w:hint="default" w:ascii="Times New Roman" w:hAnsi="Times New Roman" w:cs="Times New Roman"/>
          <w:color w:val="auto"/>
          <w:sz w:val="32"/>
          <w:szCs w:val="32"/>
          <w:lang w:val="en-US" w:eastAsia="zh-CN"/>
        </w:rPr>
      </w:pPr>
      <w:r>
        <w:rPr>
          <w:rFonts w:hint="default" w:ascii="Times New Roman" w:hAnsi="Times New Roman" w:cs="Times New Roman"/>
          <w:color w:val="auto"/>
          <w:sz w:val="32"/>
          <w:szCs w:val="32"/>
          <w:lang w:val="en-US" w:eastAsia="zh-CN"/>
        </w:rPr>
        <w:t>审查：</w:t>
      </w:r>
      <w:r>
        <w:rPr>
          <w:rFonts w:hint="default" w:ascii="Times New Roman" w:hAnsi="Times New Roman" w:cs="Times New Roman"/>
          <w:color w:val="auto"/>
          <w:sz w:val="32"/>
          <w:szCs w:val="32"/>
          <w:lang w:val="en-US" w:eastAsia="zh-CN"/>
        </w:rPr>
        <w:drawing>
          <wp:inline distT="0" distB="0" distL="114300" distR="114300">
            <wp:extent cx="570230" cy="247650"/>
            <wp:effectExtent l="0" t="0" r="8890" b="11430"/>
            <wp:docPr id="45" name="图片 45" descr="秦佳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图片 45" descr="秦佳伟"/>
                    <pic:cNvPicPr>
                      <a:picLocks noChangeAspect="1"/>
                    </pic:cNvPicPr>
                  </pic:nvPicPr>
                  <pic:blipFill>
                    <a:blip r:embed="rId37"/>
                    <a:stretch>
                      <a:fillRect/>
                    </a:stretch>
                  </pic:blipFill>
                  <pic:spPr>
                    <a:xfrm>
                      <a:off x="0" y="0"/>
                      <a:ext cx="570230" cy="247650"/>
                    </a:xfrm>
                    <a:prstGeom prst="rect">
                      <a:avLst/>
                    </a:prstGeom>
                  </pic:spPr>
                </pic:pic>
              </a:graphicData>
            </a:graphic>
          </wp:inline>
        </w:drawing>
      </w:r>
    </w:p>
    <w:p>
      <w:pPr>
        <w:spacing w:line="360" w:lineRule="auto"/>
        <w:jc w:val="both"/>
        <w:rPr>
          <w:rFonts w:hint="default" w:ascii="Times New Roman" w:hAnsi="Times New Roman" w:cs="Times New Roman"/>
          <w:color w:val="auto"/>
          <w:sz w:val="32"/>
          <w:szCs w:val="32"/>
          <w:lang w:val="en-US" w:eastAsia="zh-CN"/>
        </w:rPr>
      </w:pPr>
      <w:r>
        <w:rPr>
          <w:rFonts w:hint="default" w:ascii="Times New Roman" w:hAnsi="Times New Roman" w:cs="Times New Roman"/>
          <w:color w:val="auto"/>
          <w:sz w:val="32"/>
          <w:szCs w:val="32"/>
          <w:lang w:val="en-US" w:eastAsia="zh-CN"/>
        </w:rPr>
        <w:t>校核：</w:t>
      </w:r>
      <w:r>
        <w:rPr>
          <w:rFonts w:hint="default" w:ascii="Times New Roman" w:hAnsi="Times New Roman" w:cs="Times New Roman"/>
          <w:color w:val="auto"/>
          <w:sz w:val="32"/>
          <w:szCs w:val="32"/>
          <w:lang w:val="en-US" w:eastAsia="zh-CN"/>
        </w:rPr>
        <w:drawing>
          <wp:inline distT="0" distB="0" distL="114300" distR="114300">
            <wp:extent cx="557530" cy="278765"/>
            <wp:effectExtent l="0" t="0" r="6350" b="10795"/>
            <wp:docPr id="46" name="图片 46" descr="阳衡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6" name="图片 46" descr="阳衡辉"/>
                    <pic:cNvPicPr>
                      <a:picLocks noChangeAspect="1"/>
                    </pic:cNvPicPr>
                  </pic:nvPicPr>
                  <pic:blipFill>
                    <a:blip r:embed="rId38"/>
                    <a:stretch>
                      <a:fillRect/>
                    </a:stretch>
                  </pic:blipFill>
                  <pic:spPr>
                    <a:xfrm>
                      <a:off x="0" y="0"/>
                      <a:ext cx="557530" cy="278765"/>
                    </a:xfrm>
                    <a:prstGeom prst="rect">
                      <a:avLst/>
                    </a:prstGeom>
                  </pic:spPr>
                </pic:pic>
              </a:graphicData>
            </a:graphic>
          </wp:inline>
        </w:drawing>
      </w:r>
    </w:p>
    <w:p>
      <w:pPr>
        <w:spacing w:line="360" w:lineRule="auto"/>
        <w:jc w:val="both"/>
        <w:rPr>
          <w:rFonts w:hint="default" w:ascii="Times New Roman" w:hAnsi="Times New Roman" w:cs="Times New Roman"/>
          <w:color w:val="auto"/>
          <w:sz w:val="32"/>
          <w:szCs w:val="32"/>
          <w:lang w:val="en-US" w:eastAsia="zh-CN"/>
        </w:rPr>
      </w:pPr>
      <w:r>
        <w:rPr>
          <w:rFonts w:hint="default" w:ascii="Times New Roman" w:hAnsi="Times New Roman" w:cs="Times New Roman"/>
          <w:color w:val="auto"/>
          <w:sz w:val="32"/>
          <w:szCs w:val="32"/>
          <w:lang w:val="en-US" w:eastAsia="zh-CN"/>
        </w:rPr>
        <w:t>项目负责人：</w:t>
      </w:r>
      <w:r>
        <w:rPr>
          <w:rFonts w:hint="default" w:ascii="Times New Roman" w:hAnsi="Times New Roman" w:cs="Times New Roman"/>
          <w:color w:val="auto"/>
          <w:sz w:val="32"/>
          <w:szCs w:val="32"/>
          <w:lang w:val="en-US" w:eastAsia="zh-CN"/>
        </w:rPr>
        <w:drawing>
          <wp:inline distT="0" distB="0" distL="114300" distR="114300">
            <wp:extent cx="581025" cy="239395"/>
            <wp:effectExtent l="0" t="0" r="13335" b="4445"/>
            <wp:docPr id="1" name="图片 1" descr="尹靖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尹靖雯"/>
                    <pic:cNvPicPr>
                      <a:picLocks noChangeAspect="1"/>
                    </pic:cNvPicPr>
                  </pic:nvPicPr>
                  <pic:blipFill>
                    <a:blip r:embed="rId39"/>
                    <a:stretch>
                      <a:fillRect/>
                    </a:stretch>
                  </pic:blipFill>
                  <pic:spPr>
                    <a:xfrm>
                      <a:off x="0" y="0"/>
                      <a:ext cx="581025" cy="239395"/>
                    </a:xfrm>
                    <a:prstGeom prst="rect">
                      <a:avLst/>
                    </a:prstGeom>
                  </pic:spPr>
                </pic:pic>
              </a:graphicData>
            </a:graphic>
          </wp:inline>
        </w:drawing>
      </w:r>
    </w:p>
    <w:p>
      <w:pPr>
        <w:spacing w:line="360" w:lineRule="auto"/>
        <w:jc w:val="both"/>
        <w:rPr>
          <w:rFonts w:hint="default" w:ascii="Times New Roman" w:hAnsi="Times New Roman" w:cs="Times New Roman"/>
          <w:color w:val="auto"/>
          <w:sz w:val="32"/>
          <w:szCs w:val="32"/>
          <w:lang w:val="en-US" w:eastAsia="zh-CN"/>
        </w:rPr>
      </w:pPr>
      <w:r>
        <w:rPr>
          <w:rFonts w:hint="default" w:ascii="Times New Roman" w:hAnsi="Times New Roman" w:cs="Times New Roman"/>
          <w:color w:val="auto"/>
          <w:sz w:val="32"/>
          <w:szCs w:val="32"/>
          <w:lang w:val="en-US" w:eastAsia="zh-CN"/>
        </w:rPr>
        <w:t>编写：</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cs="Times New Roman"/>
                <w:color w:val="auto"/>
                <w:sz w:val="32"/>
                <w:szCs w:val="32"/>
                <w:vertAlign w:val="baseline"/>
                <w:lang w:val="en-US" w:eastAsia="zh-CN"/>
              </w:rPr>
              <w:t>姓名</w:t>
            </w:r>
          </w:p>
        </w:tc>
        <w:tc>
          <w:tcPr>
            <w:tcW w:w="2130"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cs="Times New Roman"/>
                <w:color w:val="auto"/>
                <w:sz w:val="32"/>
                <w:szCs w:val="32"/>
                <w:vertAlign w:val="baseline"/>
                <w:lang w:val="en-US" w:eastAsia="zh-CN"/>
              </w:rPr>
              <w:t>职称</w:t>
            </w:r>
          </w:p>
        </w:tc>
        <w:tc>
          <w:tcPr>
            <w:tcW w:w="2131"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cs="Times New Roman"/>
                <w:color w:val="auto"/>
                <w:sz w:val="32"/>
                <w:szCs w:val="32"/>
                <w:vertAlign w:val="baseline"/>
                <w:lang w:val="en-US" w:eastAsia="zh-CN"/>
              </w:rPr>
              <w:t>分工</w:t>
            </w:r>
          </w:p>
        </w:tc>
        <w:tc>
          <w:tcPr>
            <w:tcW w:w="2131"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cs="Times New Roman"/>
                <w:color w:val="auto"/>
                <w:sz w:val="32"/>
                <w:szCs w:val="32"/>
                <w:vertAlign w:val="baseline"/>
                <w:lang w:val="en-US" w:eastAsia="zh-CN"/>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kern w:val="2"/>
                <w:sz w:val="32"/>
                <w:szCs w:val="32"/>
                <w:vertAlign w:val="baseline"/>
                <w:lang w:val="en-US" w:eastAsia="zh-CN" w:bidi="ar-SA"/>
              </w:rPr>
            </w:pPr>
            <w:r>
              <w:rPr>
                <w:rFonts w:hint="eastAsia" w:ascii="Times New Roman" w:hAnsi="Times New Roman" w:cs="Times New Roman"/>
                <w:color w:val="auto"/>
                <w:kern w:val="2"/>
                <w:sz w:val="32"/>
                <w:szCs w:val="32"/>
                <w:vertAlign w:val="baseline"/>
                <w:lang w:val="en-US" w:eastAsia="zh-CN" w:bidi="ar-SA"/>
              </w:rPr>
              <w:t>马波</w:t>
            </w:r>
          </w:p>
        </w:tc>
        <w:tc>
          <w:tcPr>
            <w:tcW w:w="2130"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p>
        </w:tc>
        <w:tc>
          <w:tcPr>
            <w:tcW w:w="2131"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p>
        </w:tc>
        <w:tc>
          <w:tcPr>
            <w:tcW w:w="2131"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eastAsia="仿宋" w:cs="Times New Roman"/>
                <w:color w:val="auto"/>
                <w:sz w:val="32"/>
                <w:szCs w:val="32"/>
                <w:vertAlign w:val="baseline"/>
                <w:lang w:val="en-US" w:eastAsia="zh-CN"/>
              </w:rPr>
              <w:drawing>
                <wp:inline distT="0" distB="0" distL="114300" distR="114300">
                  <wp:extent cx="584200" cy="300355"/>
                  <wp:effectExtent l="0" t="0" r="10160" b="4445"/>
                  <wp:docPr id="4" name="图片 4" descr="QQ图片20211231082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QQ图片20211231082442"/>
                          <pic:cNvPicPr>
                            <a:picLocks noChangeAspect="1"/>
                          </pic:cNvPicPr>
                        </pic:nvPicPr>
                        <pic:blipFill>
                          <a:blip r:embed="rId40"/>
                          <a:stretch>
                            <a:fillRect/>
                          </a:stretch>
                        </pic:blipFill>
                        <pic:spPr>
                          <a:xfrm>
                            <a:off x="0" y="0"/>
                            <a:ext cx="584200" cy="30035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3" w:hRule="atLeast"/>
        </w:trPr>
        <w:tc>
          <w:tcPr>
            <w:tcW w:w="2130" w:type="dxa"/>
            <w:vAlign w:val="center"/>
          </w:tcPr>
          <w:p>
            <w:pPr>
              <w:jc w:val="center"/>
              <w:rPr>
                <w:rFonts w:hint="default" w:ascii="Times New Roman" w:hAnsi="Times New Roman" w:eastAsia="仿宋" w:cs="Times New Roman"/>
                <w:color w:val="auto"/>
                <w:kern w:val="2"/>
                <w:sz w:val="32"/>
                <w:szCs w:val="32"/>
                <w:vertAlign w:val="baseline"/>
                <w:lang w:val="en-US" w:eastAsia="zh-CN" w:bidi="ar-SA"/>
              </w:rPr>
            </w:pPr>
            <w:r>
              <w:rPr>
                <w:rFonts w:hint="eastAsia" w:ascii="Times New Roman" w:hAnsi="Times New Roman" w:cs="Times New Roman"/>
                <w:color w:val="auto"/>
                <w:sz w:val="32"/>
                <w:szCs w:val="32"/>
                <w:vertAlign w:val="baseline"/>
                <w:lang w:val="en-US" w:eastAsia="zh-CN"/>
              </w:rPr>
              <w:t>王宏威</w:t>
            </w:r>
          </w:p>
        </w:tc>
        <w:tc>
          <w:tcPr>
            <w:tcW w:w="2130"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p>
        </w:tc>
        <w:tc>
          <w:tcPr>
            <w:tcW w:w="2131"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p>
        </w:tc>
        <w:tc>
          <w:tcPr>
            <w:tcW w:w="2131"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eastAsia="仿宋" w:cs="Times New Roman"/>
                <w:color w:val="auto"/>
                <w:sz w:val="32"/>
                <w:szCs w:val="32"/>
                <w:vertAlign w:val="baseline"/>
                <w:lang w:val="en-US" w:eastAsia="zh-CN"/>
              </w:rPr>
              <w:drawing>
                <wp:inline distT="0" distB="0" distL="114300" distR="114300">
                  <wp:extent cx="737235" cy="332740"/>
                  <wp:effectExtent l="0" t="0" r="9525" b="2540"/>
                  <wp:docPr id="42" name="图片 42" descr="王宏威"/>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 name="图片 42" descr="王宏威"/>
                          <pic:cNvPicPr>
                            <a:picLocks noChangeAspect="1"/>
                          </pic:cNvPicPr>
                        </pic:nvPicPr>
                        <pic:blipFill>
                          <a:blip r:embed="rId41"/>
                          <a:stretch>
                            <a:fillRect/>
                          </a:stretch>
                        </pic:blipFill>
                        <pic:spPr>
                          <a:xfrm>
                            <a:off x="0" y="0"/>
                            <a:ext cx="737235" cy="33274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kern w:val="2"/>
                <w:sz w:val="32"/>
                <w:szCs w:val="32"/>
                <w:vertAlign w:val="baseline"/>
                <w:lang w:val="en-US" w:eastAsia="zh-CN" w:bidi="ar-SA"/>
              </w:rPr>
            </w:pPr>
            <w:r>
              <w:rPr>
                <w:rFonts w:hint="eastAsia" w:ascii="Times New Roman" w:hAnsi="Times New Roman" w:cs="Times New Roman"/>
                <w:color w:val="auto"/>
                <w:sz w:val="32"/>
                <w:szCs w:val="32"/>
                <w:vertAlign w:val="baseline"/>
                <w:lang w:val="en-US" w:eastAsia="zh-CN"/>
              </w:rPr>
              <w:t>陈治军</w:t>
            </w:r>
          </w:p>
        </w:tc>
        <w:tc>
          <w:tcPr>
            <w:tcW w:w="2130"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p>
        </w:tc>
        <w:tc>
          <w:tcPr>
            <w:tcW w:w="2131"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p>
        </w:tc>
        <w:tc>
          <w:tcPr>
            <w:tcW w:w="2131"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eastAsia="仿宋" w:cs="Times New Roman"/>
                <w:color w:val="auto"/>
                <w:sz w:val="32"/>
                <w:szCs w:val="32"/>
                <w:vertAlign w:val="baseline"/>
                <w:lang w:val="en-US" w:eastAsia="zh-CN"/>
              </w:rPr>
              <w:drawing>
                <wp:inline distT="0" distB="0" distL="114300" distR="114300">
                  <wp:extent cx="676910" cy="328930"/>
                  <wp:effectExtent l="0" t="0" r="8890" b="6350"/>
                  <wp:docPr id="44" name="图片 44" descr="陈治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4" name="图片 44" descr="陈治军"/>
                          <pic:cNvPicPr>
                            <a:picLocks noChangeAspect="1"/>
                          </pic:cNvPicPr>
                        </pic:nvPicPr>
                        <pic:blipFill>
                          <a:blip r:embed="rId42"/>
                          <a:stretch>
                            <a:fillRect/>
                          </a:stretch>
                        </pic:blipFill>
                        <pic:spPr>
                          <a:xfrm>
                            <a:off x="0" y="0"/>
                            <a:ext cx="676910" cy="32893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kern w:val="2"/>
                <w:sz w:val="32"/>
                <w:szCs w:val="32"/>
                <w:vertAlign w:val="baseline"/>
                <w:lang w:val="en-US" w:eastAsia="zh-CN" w:bidi="ar-SA"/>
              </w:rPr>
            </w:pPr>
            <w:r>
              <w:rPr>
                <w:rFonts w:hint="eastAsia" w:ascii="Times New Roman" w:hAnsi="Times New Roman" w:cs="Times New Roman"/>
                <w:color w:val="auto"/>
                <w:kern w:val="2"/>
                <w:sz w:val="32"/>
                <w:szCs w:val="32"/>
                <w:vertAlign w:val="baseline"/>
                <w:lang w:val="en-US" w:eastAsia="zh-CN" w:bidi="ar-SA"/>
              </w:rPr>
              <w:t>尹靖雯</w:t>
            </w:r>
          </w:p>
        </w:tc>
        <w:tc>
          <w:tcPr>
            <w:tcW w:w="2130"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p>
        </w:tc>
        <w:tc>
          <w:tcPr>
            <w:tcW w:w="2131"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p>
        </w:tc>
        <w:tc>
          <w:tcPr>
            <w:tcW w:w="2131" w:type="dxa"/>
            <w:vAlign w:val="center"/>
          </w:tcPr>
          <w:p>
            <w:pPr>
              <w:spacing w:line="360" w:lineRule="auto"/>
              <w:jc w:val="center"/>
              <w:rPr>
                <w:rFonts w:hint="default" w:ascii="Times New Roman" w:hAnsi="Times New Roman" w:eastAsia="仿宋" w:cs="Times New Roman"/>
                <w:color w:val="auto"/>
                <w:sz w:val="32"/>
                <w:szCs w:val="32"/>
                <w:vertAlign w:val="baseline"/>
                <w:lang w:val="en-US" w:eastAsia="zh-CN"/>
              </w:rPr>
            </w:pPr>
            <w:r>
              <w:rPr>
                <w:rFonts w:hint="default" w:ascii="Times New Roman" w:hAnsi="Times New Roman" w:eastAsia="仿宋" w:cs="Times New Roman"/>
                <w:color w:val="auto"/>
                <w:sz w:val="32"/>
                <w:szCs w:val="32"/>
                <w:vertAlign w:val="baseline"/>
                <w:lang w:val="en-US" w:eastAsia="zh-CN"/>
              </w:rPr>
              <w:drawing>
                <wp:inline distT="0" distB="0" distL="114300" distR="114300">
                  <wp:extent cx="614680" cy="253365"/>
                  <wp:effectExtent l="0" t="0" r="10160" b="5715"/>
                  <wp:docPr id="11" name="图片 11" descr="尹靖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图片 11" descr="尹靖雯"/>
                          <pic:cNvPicPr>
                            <a:picLocks noChangeAspect="1"/>
                          </pic:cNvPicPr>
                        </pic:nvPicPr>
                        <pic:blipFill>
                          <a:blip r:embed="rId39"/>
                          <a:stretch>
                            <a:fillRect/>
                          </a:stretch>
                        </pic:blipFill>
                        <pic:spPr>
                          <a:xfrm>
                            <a:off x="0" y="0"/>
                            <a:ext cx="614680" cy="253365"/>
                          </a:xfrm>
                          <a:prstGeom prst="rect">
                            <a:avLst/>
                          </a:prstGeom>
                        </pic:spPr>
                      </pic:pic>
                    </a:graphicData>
                  </a:graphic>
                </wp:inline>
              </w:drawing>
            </w:r>
          </w:p>
        </w:tc>
      </w:tr>
    </w:tbl>
    <w:p>
      <w:pPr>
        <w:pStyle w:val="2"/>
        <w:numPr>
          <w:ilvl w:val="0"/>
          <w:numId w:val="0"/>
        </w:numPr>
        <w:bidi w:val="0"/>
        <w:spacing w:line="360" w:lineRule="auto"/>
        <w:outlineLvl w:val="9"/>
        <w:rPr>
          <w:rFonts w:hint="default" w:ascii="Times New Roman" w:hAnsi="Times New Roman" w:cs="Times New Roman"/>
          <w:color w:val="auto"/>
          <w:lang w:val="en-US" w:eastAsia="zh-CN"/>
        </w:rPr>
        <w:sectPr>
          <w:headerReference r:id="rId3" w:type="default"/>
          <w:footerReference r:id="rId4" w:type="default"/>
          <w:pgSz w:w="11910" w:h="16840"/>
          <w:pgMar w:top="1440" w:right="1440" w:bottom="1440" w:left="1440" w:header="888" w:footer="994" w:gutter="0"/>
          <w:pgNumType w:fmt="decimal" w:start="1"/>
          <w:cols w:space="720" w:num="1"/>
        </w:sectPr>
      </w:pPr>
    </w:p>
    <w:sdt>
      <w:sdtPr>
        <w:rPr>
          <w:rFonts w:hint="default" w:ascii="Times New Roman" w:hAnsi="Times New Roman" w:eastAsia="宋体" w:cs="Times New Roman"/>
          <w:color w:val="auto"/>
          <w:kern w:val="2"/>
          <w:sz w:val="21"/>
          <w:szCs w:val="24"/>
          <w:lang w:val="en-US" w:eastAsia="zh-CN" w:bidi="ar-SA"/>
        </w:rPr>
        <w:id w:val="147459103"/>
        <w15:color w:val="DBDBDB"/>
        <w:docPartObj>
          <w:docPartGallery w:val="Table of Contents"/>
          <w:docPartUnique/>
        </w:docPartObj>
      </w:sdtPr>
      <w:sdtEndPr>
        <w:rPr>
          <w:rFonts w:hint="default" w:ascii="Times New Roman" w:hAnsi="Times New Roman" w:eastAsia="宋体" w:cs="Times New Roman"/>
          <w:b/>
          <w:color w:val="auto"/>
          <w:kern w:val="2"/>
          <w:sz w:val="21"/>
          <w:szCs w:val="24"/>
          <w:lang w:val="en-US" w:eastAsia="zh-CN" w:bidi="ar-SA"/>
        </w:rPr>
      </w:sdtEndPr>
      <w:sdtContent>
        <w:p>
          <w:pPr>
            <w:spacing w:before="0" w:beforeLines="0" w:after="0" w:afterLines="0" w:line="360" w:lineRule="auto"/>
            <w:ind w:left="0" w:leftChars="0" w:right="0" w:rightChars="0" w:firstLine="0" w:firstLineChars="0"/>
            <w:jc w:val="center"/>
            <w:rPr>
              <w:rFonts w:hint="default" w:ascii="Times New Roman" w:hAnsi="Times New Roman" w:cs="Times New Roman"/>
              <w:b/>
              <w:color w:val="auto"/>
            </w:rPr>
          </w:pPr>
          <w:bookmarkStart w:id="6" w:name="_Toc20168"/>
          <w:r>
            <w:rPr>
              <w:rFonts w:hint="default" w:ascii="Times New Roman" w:hAnsi="Times New Roman" w:eastAsia="黑体" w:cs="Times New Roman"/>
              <w:color w:val="auto"/>
              <w:sz w:val="32"/>
              <w:szCs w:val="32"/>
            </w:rPr>
            <w:t>目录</w:t>
          </w:r>
          <w:r>
            <w:rPr>
              <w:rFonts w:hint="default" w:ascii="Times New Roman" w:hAnsi="Times New Roman" w:cs="Times New Roman"/>
              <w:color w:val="auto"/>
            </w:rPr>
            <w:fldChar w:fldCharType="begin"/>
          </w:r>
          <w:r>
            <w:rPr>
              <w:rFonts w:hint="default" w:ascii="Times New Roman" w:hAnsi="Times New Roman" w:cs="Times New Roman"/>
              <w:color w:val="auto"/>
            </w:rPr>
            <w:instrText xml:space="preserve">TOC \o "1-2" \h \u </w:instrText>
          </w:r>
          <w:r>
            <w:rPr>
              <w:rFonts w:hint="default" w:ascii="Times New Roman" w:hAnsi="Times New Roman" w:cs="Times New Roman"/>
              <w:color w:val="auto"/>
            </w:rPr>
            <w:fldChar w:fldCharType="separate"/>
          </w:r>
        </w:p>
        <w:p>
          <w:pPr>
            <w:pStyle w:val="25"/>
            <w:tabs>
              <w:tab w:val="right" w:leader="dot" w:pos="9610"/>
            </w:tabs>
            <w:spacing w:line="360" w:lineRule="auto"/>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fldChar w:fldCharType="begin"/>
          </w:r>
          <w:r>
            <w:rPr>
              <w:rFonts w:hint="default" w:ascii="Times New Roman" w:hAnsi="Times New Roman" w:eastAsia="黑体" w:cs="Times New Roman"/>
              <w:color w:val="auto"/>
              <w:kern w:val="2"/>
              <w:sz w:val="32"/>
              <w:szCs w:val="32"/>
              <w:lang w:val="en-US" w:eastAsia="zh-CN" w:bidi="ar-SA"/>
            </w:rPr>
            <w:instrText xml:space="preserve"> HYPERLINK \l _Toc18326 </w:instrText>
          </w:r>
          <w:r>
            <w:rPr>
              <w:rFonts w:hint="default" w:ascii="Times New Roman" w:hAnsi="Times New Roman" w:eastAsia="黑体" w:cs="Times New Roman"/>
              <w:color w:val="auto"/>
              <w:kern w:val="2"/>
              <w:sz w:val="32"/>
              <w:szCs w:val="32"/>
              <w:lang w:val="en-US" w:eastAsia="zh-CN" w:bidi="ar-SA"/>
            </w:rPr>
            <w:fldChar w:fldCharType="separate"/>
          </w:r>
          <w:r>
            <w:rPr>
              <w:rFonts w:hint="default" w:ascii="Times New Roman" w:hAnsi="Times New Roman" w:eastAsia="黑体" w:cs="Times New Roman"/>
              <w:color w:val="auto"/>
              <w:kern w:val="2"/>
              <w:sz w:val="32"/>
              <w:szCs w:val="32"/>
              <w:lang w:val="en-US" w:eastAsia="zh-CN" w:bidi="ar-SA"/>
            </w:rPr>
            <w:t>1、项目及项目区概括</w:t>
          </w:r>
          <w:r>
            <w:rPr>
              <w:rFonts w:hint="default" w:ascii="Times New Roman" w:hAnsi="Times New Roman" w:eastAsia="黑体" w:cs="Times New Roman"/>
              <w:color w:val="auto"/>
              <w:kern w:val="2"/>
              <w:sz w:val="32"/>
              <w:szCs w:val="32"/>
              <w:lang w:val="en-US" w:eastAsia="zh-CN" w:bidi="ar-SA"/>
            </w:rPr>
            <w:tab/>
          </w:r>
          <w:r>
            <w:rPr>
              <w:rFonts w:hint="default" w:ascii="Times New Roman" w:hAnsi="Times New Roman" w:eastAsia="黑体" w:cs="Times New Roman"/>
              <w:color w:val="auto"/>
              <w:kern w:val="2"/>
              <w:sz w:val="32"/>
              <w:szCs w:val="32"/>
              <w:lang w:val="en-US" w:eastAsia="zh-CN" w:bidi="ar-SA"/>
            </w:rPr>
            <w:t>1</w:t>
          </w:r>
          <w:r>
            <w:rPr>
              <w:rFonts w:hint="default" w:ascii="Times New Roman" w:hAnsi="Times New Roman" w:eastAsia="黑体" w:cs="Times New Roman"/>
              <w:color w:val="auto"/>
              <w:kern w:val="2"/>
              <w:sz w:val="32"/>
              <w:szCs w:val="32"/>
              <w:lang w:val="en-US" w:eastAsia="zh-CN" w:bidi="ar-SA"/>
            </w:rPr>
            <w:fldChar w:fldCharType="end"/>
          </w:r>
        </w:p>
        <w:p>
          <w:pPr>
            <w:pStyle w:val="26"/>
            <w:tabs>
              <w:tab w:val="right" w:leader="dot" w:pos="9610"/>
            </w:tabs>
            <w:spacing w:line="360" w:lineRule="auto"/>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_Toc8917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1.1项目概括</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2</w:t>
          </w:r>
          <w:r>
            <w:rPr>
              <w:rFonts w:hint="default" w:ascii="Times New Roman" w:hAnsi="Times New Roman" w:eastAsia="仿宋" w:cs="Times New Roman"/>
              <w:color w:val="auto"/>
              <w:sz w:val="28"/>
              <w:szCs w:val="28"/>
            </w:rPr>
            <w:fldChar w:fldCharType="end"/>
          </w:r>
        </w:p>
        <w:p>
          <w:pPr>
            <w:pStyle w:val="26"/>
            <w:tabs>
              <w:tab w:val="right" w:leader="dot" w:pos="9610"/>
            </w:tabs>
            <w:spacing w:line="360" w:lineRule="auto"/>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_Toc24626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1.2项目区概括</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PAGEREF _Toc24626 \h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rPr>
            <w:t>2</w:t>
          </w:r>
          <w:r>
            <w:rPr>
              <w:rFonts w:hint="default" w:ascii="Times New Roman" w:hAnsi="Times New Roman" w:eastAsia="仿宋" w:cs="Times New Roman"/>
              <w:color w:val="auto"/>
              <w:sz w:val="28"/>
              <w:szCs w:val="28"/>
            </w:rPr>
            <w:fldChar w:fldCharType="end"/>
          </w:r>
          <w:r>
            <w:rPr>
              <w:rFonts w:hint="default" w:ascii="Times New Roman" w:hAnsi="Times New Roman" w:eastAsia="仿宋" w:cs="Times New Roman"/>
              <w:color w:val="auto"/>
              <w:sz w:val="28"/>
              <w:szCs w:val="28"/>
            </w:rPr>
            <w:fldChar w:fldCharType="end"/>
          </w:r>
        </w:p>
        <w:p>
          <w:pPr>
            <w:pStyle w:val="26"/>
            <w:tabs>
              <w:tab w:val="right" w:leader="dot" w:pos="9610"/>
            </w:tabs>
            <w:spacing w:line="360" w:lineRule="auto"/>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_Toc2879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1.3水土流失布局</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PAGEREF _Toc2879 \h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rPr>
            <w:t>3</w:t>
          </w:r>
          <w:r>
            <w:rPr>
              <w:rFonts w:hint="default" w:ascii="Times New Roman" w:hAnsi="Times New Roman" w:eastAsia="仿宋" w:cs="Times New Roman"/>
              <w:color w:val="auto"/>
              <w:sz w:val="28"/>
              <w:szCs w:val="28"/>
            </w:rPr>
            <w:fldChar w:fldCharType="end"/>
          </w:r>
          <w:r>
            <w:rPr>
              <w:rFonts w:hint="default" w:ascii="Times New Roman" w:hAnsi="Times New Roman" w:eastAsia="仿宋" w:cs="Times New Roman"/>
              <w:color w:val="auto"/>
              <w:sz w:val="28"/>
              <w:szCs w:val="28"/>
            </w:rPr>
            <w:fldChar w:fldCharType="end"/>
          </w:r>
        </w:p>
        <w:p>
          <w:pPr>
            <w:pStyle w:val="26"/>
            <w:tabs>
              <w:tab w:val="right" w:leader="dot" w:pos="9610"/>
            </w:tabs>
            <w:spacing w:line="360" w:lineRule="auto"/>
            <w:rPr>
              <w:rFonts w:hint="default" w:ascii="Times New Roman" w:hAnsi="Times New Roman" w:cs="Times New Roman"/>
              <w:color w:val="auto"/>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_Toc12123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1.4监测准备期现场调查评价</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PAGEREF _Toc12123 \h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rPr>
            <w:t>3</w:t>
          </w:r>
          <w:r>
            <w:rPr>
              <w:rFonts w:hint="default" w:ascii="Times New Roman" w:hAnsi="Times New Roman" w:eastAsia="仿宋" w:cs="Times New Roman"/>
              <w:color w:val="auto"/>
              <w:sz w:val="28"/>
              <w:szCs w:val="28"/>
            </w:rPr>
            <w:fldChar w:fldCharType="end"/>
          </w:r>
          <w:r>
            <w:rPr>
              <w:rFonts w:hint="default" w:ascii="Times New Roman" w:hAnsi="Times New Roman" w:eastAsia="仿宋" w:cs="Times New Roman"/>
              <w:color w:val="auto"/>
              <w:sz w:val="28"/>
              <w:szCs w:val="28"/>
            </w:rPr>
            <w:fldChar w:fldCharType="end"/>
          </w:r>
        </w:p>
        <w:p>
          <w:pPr>
            <w:pStyle w:val="25"/>
            <w:tabs>
              <w:tab w:val="right" w:leader="dot" w:pos="9610"/>
            </w:tabs>
            <w:spacing w:line="360" w:lineRule="auto"/>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fldChar w:fldCharType="begin"/>
          </w:r>
          <w:r>
            <w:rPr>
              <w:rFonts w:hint="default" w:ascii="Times New Roman" w:hAnsi="Times New Roman" w:eastAsia="黑体" w:cs="Times New Roman"/>
              <w:color w:val="auto"/>
              <w:kern w:val="2"/>
              <w:sz w:val="32"/>
              <w:szCs w:val="32"/>
              <w:lang w:val="en-US" w:eastAsia="zh-CN" w:bidi="ar-SA"/>
            </w:rPr>
            <w:instrText xml:space="preserve"> HYPERLINK \l _Toc10028 </w:instrText>
          </w:r>
          <w:r>
            <w:rPr>
              <w:rFonts w:hint="default" w:ascii="Times New Roman" w:hAnsi="Times New Roman" w:eastAsia="黑体" w:cs="Times New Roman"/>
              <w:color w:val="auto"/>
              <w:kern w:val="2"/>
              <w:sz w:val="32"/>
              <w:szCs w:val="32"/>
              <w:lang w:val="en-US" w:eastAsia="zh-CN" w:bidi="ar-SA"/>
            </w:rPr>
            <w:fldChar w:fldCharType="separate"/>
          </w:r>
          <w:r>
            <w:rPr>
              <w:rFonts w:hint="default" w:ascii="Times New Roman" w:hAnsi="Times New Roman" w:eastAsia="黑体" w:cs="Times New Roman"/>
              <w:color w:val="auto"/>
              <w:kern w:val="2"/>
              <w:sz w:val="32"/>
              <w:szCs w:val="32"/>
              <w:lang w:val="en-US" w:eastAsia="zh-CN" w:bidi="ar-SA"/>
            </w:rPr>
            <w:t>2、水土监测布局</w:t>
          </w:r>
          <w:r>
            <w:rPr>
              <w:rFonts w:hint="default" w:ascii="Times New Roman" w:hAnsi="Times New Roman" w:eastAsia="黑体" w:cs="Times New Roman"/>
              <w:color w:val="auto"/>
              <w:kern w:val="2"/>
              <w:sz w:val="32"/>
              <w:szCs w:val="32"/>
              <w:lang w:val="en-US" w:eastAsia="zh-CN" w:bidi="ar-SA"/>
            </w:rPr>
            <w:tab/>
          </w:r>
          <w:r>
            <w:rPr>
              <w:rFonts w:hint="default" w:ascii="Times New Roman" w:hAnsi="Times New Roman" w:eastAsia="黑体" w:cs="Times New Roman"/>
              <w:color w:val="auto"/>
              <w:kern w:val="2"/>
              <w:sz w:val="32"/>
              <w:szCs w:val="32"/>
              <w:lang w:val="en-US" w:eastAsia="zh-CN" w:bidi="ar-SA"/>
            </w:rPr>
            <w:t>6</w:t>
          </w:r>
          <w:r>
            <w:rPr>
              <w:rFonts w:hint="default" w:ascii="Times New Roman" w:hAnsi="Times New Roman" w:eastAsia="黑体" w:cs="Times New Roman"/>
              <w:color w:val="auto"/>
              <w:kern w:val="2"/>
              <w:sz w:val="32"/>
              <w:szCs w:val="32"/>
              <w:lang w:val="en-US" w:eastAsia="zh-CN" w:bidi="ar-SA"/>
            </w:rPr>
            <w:fldChar w:fldCharType="end"/>
          </w:r>
        </w:p>
        <w:p>
          <w:pPr>
            <w:pStyle w:val="26"/>
            <w:tabs>
              <w:tab w:val="right" w:leader="dot" w:pos="9610"/>
            </w:tabs>
            <w:spacing w:line="360" w:lineRule="auto"/>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_Toc22398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2.1监测目标和任务</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6</w:t>
          </w:r>
          <w:r>
            <w:rPr>
              <w:rFonts w:hint="default" w:ascii="Times New Roman" w:hAnsi="Times New Roman" w:eastAsia="仿宋" w:cs="Times New Roman"/>
              <w:color w:val="auto"/>
              <w:sz w:val="28"/>
              <w:szCs w:val="28"/>
            </w:rPr>
            <w:fldChar w:fldCharType="end"/>
          </w:r>
        </w:p>
        <w:p>
          <w:pPr>
            <w:pStyle w:val="26"/>
            <w:tabs>
              <w:tab w:val="right" w:leader="dot" w:pos="9610"/>
            </w:tabs>
            <w:spacing w:line="360" w:lineRule="auto"/>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_Toc29352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2.2监测范围与分区</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6</w:t>
          </w:r>
          <w:r>
            <w:rPr>
              <w:rFonts w:hint="default" w:ascii="Times New Roman" w:hAnsi="Times New Roman" w:eastAsia="仿宋" w:cs="Times New Roman"/>
              <w:color w:val="auto"/>
              <w:sz w:val="28"/>
              <w:szCs w:val="28"/>
            </w:rPr>
            <w:fldChar w:fldCharType="end"/>
          </w:r>
        </w:p>
        <w:p>
          <w:pPr>
            <w:pStyle w:val="26"/>
            <w:tabs>
              <w:tab w:val="right" w:leader="dot" w:pos="9610"/>
            </w:tabs>
            <w:spacing w:line="360" w:lineRule="auto"/>
            <w:rPr>
              <w:rFonts w:hint="default" w:ascii="Times New Roman" w:hAnsi="Times New Roman" w:eastAsia="仿宋" w:cs="Times New Roman"/>
              <w:color w:val="auto"/>
              <w:sz w:val="28"/>
              <w:szCs w:val="28"/>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_Toc640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2.3监测重点和布局</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7</w:t>
          </w:r>
          <w:r>
            <w:rPr>
              <w:rFonts w:hint="default" w:ascii="Times New Roman" w:hAnsi="Times New Roman" w:eastAsia="仿宋" w:cs="Times New Roman"/>
              <w:color w:val="auto"/>
              <w:sz w:val="28"/>
              <w:szCs w:val="28"/>
            </w:rPr>
            <w:fldChar w:fldCharType="end"/>
          </w:r>
        </w:p>
        <w:p>
          <w:pPr>
            <w:pStyle w:val="26"/>
            <w:tabs>
              <w:tab w:val="right" w:leader="dot" w:pos="9610"/>
            </w:tabs>
            <w:spacing w:line="360" w:lineRule="auto"/>
            <w:rPr>
              <w:rFonts w:hint="default" w:ascii="Times New Roman" w:hAnsi="Times New Roman" w:cs="Times New Roman"/>
              <w:color w:val="auto"/>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_Toc15841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2.4监测时段和工作进度</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8</w:t>
          </w:r>
          <w:r>
            <w:rPr>
              <w:rFonts w:hint="default" w:ascii="Times New Roman" w:hAnsi="Times New Roman" w:eastAsia="仿宋" w:cs="Times New Roman"/>
              <w:color w:val="auto"/>
              <w:sz w:val="28"/>
              <w:szCs w:val="28"/>
            </w:rPr>
            <w:fldChar w:fldCharType="end"/>
          </w:r>
        </w:p>
        <w:p>
          <w:pPr>
            <w:pStyle w:val="25"/>
            <w:tabs>
              <w:tab w:val="right" w:leader="dot" w:pos="9610"/>
            </w:tabs>
            <w:spacing w:line="360" w:lineRule="auto"/>
            <w:rPr>
              <w:rFonts w:hint="default" w:ascii="Times New Roman" w:hAnsi="Times New Roman" w:cs="Times New Roman"/>
              <w:b/>
              <w:color w:val="auto"/>
              <w:lang w:val="en-US"/>
            </w:rPr>
          </w:pPr>
          <w:r>
            <w:rPr>
              <w:rFonts w:hint="default" w:ascii="Times New Roman" w:hAnsi="Times New Roman" w:eastAsia="黑体" w:cs="Times New Roman"/>
              <w:color w:val="auto"/>
              <w:kern w:val="2"/>
              <w:sz w:val="32"/>
              <w:szCs w:val="32"/>
              <w:lang w:val="en-US" w:eastAsia="zh-CN" w:bidi="ar-SA"/>
            </w:rPr>
            <w:fldChar w:fldCharType="begin"/>
          </w:r>
          <w:r>
            <w:rPr>
              <w:rFonts w:hint="default" w:ascii="Times New Roman" w:hAnsi="Times New Roman" w:eastAsia="黑体" w:cs="Times New Roman"/>
              <w:color w:val="auto"/>
              <w:kern w:val="2"/>
              <w:sz w:val="32"/>
              <w:szCs w:val="32"/>
              <w:lang w:val="en-US" w:eastAsia="zh-CN" w:bidi="ar-SA"/>
            </w:rPr>
            <w:instrText xml:space="preserve"> HYPERLINK \l _Toc24110 </w:instrText>
          </w:r>
          <w:r>
            <w:rPr>
              <w:rFonts w:hint="default" w:ascii="Times New Roman" w:hAnsi="Times New Roman" w:eastAsia="黑体" w:cs="Times New Roman"/>
              <w:color w:val="auto"/>
              <w:kern w:val="2"/>
              <w:sz w:val="32"/>
              <w:szCs w:val="32"/>
              <w:lang w:val="en-US" w:eastAsia="zh-CN" w:bidi="ar-SA"/>
            </w:rPr>
            <w:fldChar w:fldCharType="separate"/>
          </w:r>
          <w:r>
            <w:rPr>
              <w:rFonts w:hint="default" w:ascii="Times New Roman" w:hAnsi="Times New Roman" w:eastAsia="黑体" w:cs="Times New Roman"/>
              <w:color w:val="auto"/>
              <w:kern w:val="2"/>
              <w:sz w:val="32"/>
              <w:szCs w:val="32"/>
              <w:lang w:val="en-US" w:eastAsia="zh-CN" w:bidi="ar-SA"/>
            </w:rPr>
            <w:t>3、监测内容与方法</w:t>
          </w:r>
          <w:r>
            <w:rPr>
              <w:rFonts w:hint="default" w:ascii="Times New Roman" w:hAnsi="Times New Roman" w:eastAsia="黑体" w:cs="Times New Roman"/>
              <w:color w:val="auto"/>
              <w:kern w:val="2"/>
              <w:sz w:val="32"/>
              <w:szCs w:val="32"/>
              <w:lang w:val="en-US" w:eastAsia="zh-CN" w:bidi="ar-SA"/>
            </w:rPr>
            <w:tab/>
          </w:r>
          <w:r>
            <w:rPr>
              <w:rFonts w:hint="default" w:ascii="Times New Roman" w:hAnsi="Times New Roman" w:eastAsia="黑体" w:cs="Times New Roman"/>
              <w:color w:val="auto"/>
              <w:kern w:val="2"/>
              <w:sz w:val="32"/>
              <w:szCs w:val="32"/>
              <w:lang w:val="en-US" w:eastAsia="zh-CN" w:bidi="ar-SA"/>
            </w:rPr>
            <w:t>1</w:t>
          </w:r>
          <w:r>
            <w:rPr>
              <w:rFonts w:hint="default" w:ascii="Times New Roman" w:hAnsi="Times New Roman" w:eastAsia="黑体" w:cs="Times New Roman"/>
              <w:color w:val="auto"/>
              <w:kern w:val="2"/>
              <w:sz w:val="32"/>
              <w:szCs w:val="32"/>
              <w:lang w:val="en-US" w:eastAsia="zh-CN" w:bidi="ar-SA"/>
            </w:rPr>
            <w:fldChar w:fldCharType="end"/>
          </w:r>
          <w:r>
            <w:rPr>
              <w:rFonts w:hint="default" w:ascii="Times New Roman" w:hAnsi="Times New Roman" w:eastAsia="黑体" w:cs="Times New Roman"/>
              <w:color w:val="auto"/>
              <w:kern w:val="2"/>
              <w:sz w:val="32"/>
              <w:szCs w:val="32"/>
              <w:lang w:val="en-US" w:eastAsia="zh-CN" w:bidi="ar-SA"/>
            </w:rPr>
            <w:t>0</w:t>
          </w:r>
        </w:p>
        <w:p>
          <w:pPr>
            <w:pStyle w:val="26"/>
            <w:tabs>
              <w:tab w:val="right" w:leader="dot" w:pos="9610"/>
            </w:tabs>
            <w:spacing w:line="360" w:lineRule="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_Toc3179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3.1施工准备期</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1</w:t>
          </w:r>
          <w:r>
            <w:rPr>
              <w:rFonts w:hint="default" w:ascii="Times New Roman" w:hAnsi="Times New Roman" w:eastAsia="仿宋" w:cs="Times New Roman"/>
              <w:color w:val="auto"/>
              <w:sz w:val="28"/>
              <w:szCs w:val="28"/>
            </w:rPr>
            <w:fldChar w:fldCharType="end"/>
          </w:r>
          <w:r>
            <w:rPr>
              <w:rFonts w:hint="default" w:ascii="Times New Roman" w:hAnsi="Times New Roman" w:eastAsia="仿宋" w:cs="Times New Roman"/>
              <w:color w:val="auto"/>
              <w:sz w:val="28"/>
              <w:szCs w:val="28"/>
              <w:lang w:val="en-US" w:eastAsia="zh-CN"/>
            </w:rPr>
            <w:t>0</w:t>
          </w:r>
        </w:p>
        <w:p>
          <w:pPr>
            <w:pStyle w:val="26"/>
            <w:tabs>
              <w:tab w:val="right" w:leader="dot" w:pos="9610"/>
            </w:tabs>
            <w:spacing w:line="360" w:lineRule="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_Toc249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3.2工程建设期</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1</w:t>
          </w:r>
          <w:r>
            <w:rPr>
              <w:rFonts w:hint="default" w:ascii="Times New Roman" w:hAnsi="Times New Roman" w:eastAsia="仿宋" w:cs="Times New Roman"/>
              <w:color w:val="auto"/>
              <w:sz w:val="28"/>
              <w:szCs w:val="28"/>
            </w:rPr>
            <w:fldChar w:fldCharType="end"/>
          </w:r>
          <w:r>
            <w:rPr>
              <w:rFonts w:hint="default" w:ascii="Times New Roman" w:hAnsi="Times New Roman" w:eastAsia="仿宋" w:cs="Times New Roman"/>
              <w:color w:val="auto"/>
              <w:sz w:val="28"/>
              <w:szCs w:val="28"/>
              <w:lang w:val="en-US" w:eastAsia="zh-CN"/>
            </w:rPr>
            <w:t>0</w:t>
          </w:r>
        </w:p>
        <w:p>
          <w:pPr>
            <w:pStyle w:val="26"/>
            <w:tabs>
              <w:tab w:val="right" w:leader="dot" w:pos="9610"/>
            </w:tabs>
            <w:spacing w:line="360" w:lineRule="auto"/>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_Toc24430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3.3试运行期间</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1</w:t>
          </w:r>
          <w:r>
            <w:rPr>
              <w:rFonts w:hint="default" w:ascii="Times New Roman" w:hAnsi="Times New Roman" w:eastAsia="仿宋" w:cs="Times New Roman"/>
              <w:color w:val="auto"/>
              <w:sz w:val="28"/>
              <w:szCs w:val="28"/>
            </w:rPr>
            <w:fldChar w:fldCharType="end"/>
          </w:r>
          <w:r>
            <w:rPr>
              <w:rFonts w:hint="default" w:ascii="Times New Roman" w:hAnsi="Times New Roman" w:eastAsia="仿宋" w:cs="Times New Roman"/>
              <w:color w:val="auto"/>
              <w:sz w:val="28"/>
              <w:szCs w:val="28"/>
              <w:lang w:val="en-US" w:eastAsia="zh-CN"/>
            </w:rPr>
            <w:t>1</w:t>
          </w:r>
        </w:p>
        <w:p>
          <w:pPr>
            <w:pStyle w:val="25"/>
            <w:tabs>
              <w:tab w:val="right" w:leader="dot" w:pos="9610"/>
            </w:tabs>
            <w:spacing w:line="360" w:lineRule="auto"/>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fldChar w:fldCharType="begin"/>
          </w:r>
          <w:r>
            <w:rPr>
              <w:rFonts w:hint="default" w:ascii="Times New Roman" w:hAnsi="Times New Roman" w:eastAsia="黑体" w:cs="Times New Roman"/>
              <w:color w:val="auto"/>
              <w:kern w:val="2"/>
              <w:sz w:val="32"/>
              <w:szCs w:val="32"/>
              <w:lang w:val="en-US" w:eastAsia="zh-CN" w:bidi="ar-SA"/>
            </w:rPr>
            <w:instrText xml:space="preserve"> HYPERLINK \l _Toc8675 </w:instrText>
          </w:r>
          <w:r>
            <w:rPr>
              <w:rFonts w:hint="default" w:ascii="Times New Roman" w:hAnsi="Times New Roman" w:eastAsia="黑体" w:cs="Times New Roman"/>
              <w:color w:val="auto"/>
              <w:kern w:val="2"/>
              <w:sz w:val="32"/>
              <w:szCs w:val="32"/>
              <w:lang w:val="en-US" w:eastAsia="zh-CN" w:bidi="ar-SA"/>
            </w:rPr>
            <w:fldChar w:fldCharType="separate"/>
          </w:r>
          <w:r>
            <w:rPr>
              <w:rFonts w:hint="default" w:ascii="Times New Roman" w:hAnsi="Times New Roman" w:eastAsia="黑体" w:cs="Times New Roman"/>
              <w:color w:val="auto"/>
              <w:kern w:val="2"/>
              <w:sz w:val="32"/>
              <w:szCs w:val="32"/>
              <w:lang w:val="en-US" w:eastAsia="zh-CN" w:bidi="ar-SA"/>
            </w:rPr>
            <w:t>4预期成果及形式</w:t>
          </w:r>
          <w:r>
            <w:rPr>
              <w:rFonts w:hint="default" w:ascii="Times New Roman" w:hAnsi="Times New Roman" w:eastAsia="黑体" w:cs="Times New Roman"/>
              <w:color w:val="auto"/>
              <w:kern w:val="2"/>
              <w:sz w:val="32"/>
              <w:szCs w:val="32"/>
              <w:lang w:val="en-US" w:eastAsia="zh-CN" w:bidi="ar-SA"/>
            </w:rPr>
            <w:tab/>
          </w:r>
          <w:r>
            <w:rPr>
              <w:rFonts w:hint="default" w:ascii="Times New Roman" w:hAnsi="Times New Roman" w:eastAsia="黑体" w:cs="Times New Roman"/>
              <w:color w:val="auto"/>
              <w:kern w:val="2"/>
              <w:sz w:val="32"/>
              <w:szCs w:val="32"/>
              <w:lang w:val="en-US" w:eastAsia="zh-CN" w:bidi="ar-SA"/>
            </w:rPr>
            <w:t>1</w:t>
          </w:r>
          <w:r>
            <w:rPr>
              <w:rFonts w:hint="default" w:ascii="Times New Roman" w:hAnsi="Times New Roman" w:eastAsia="黑体" w:cs="Times New Roman"/>
              <w:color w:val="auto"/>
              <w:kern w:val="2"/>
              <w:sz w:val="32"/>
              <w:szCs w:val="32"/>
              <w:lang w:val="en-US" w:eastAsia="zh-CN" w:bidi="ar-SA"/>
            </w:rPr>
            <w:fldChar w:fldCharType="end"/>
          </w:r>
          <w:r>
            <w:rPr>
              <w:rFonts w:hint="default" w:ascii="Times New Roman" w:hAnsi="Times New Roman" w:eastAsia="黑体" w:cs="Times New Roman"/>
              <w:color w:val="auto"/>
              <w:kern w:val="2"/>
              <w:sz w:val="32"/>
              <w:szCs w:val="32"/>
              <w:lang w:val="en-US" w:eastAsia="zh-CN" w:bidi="ar-SA"/>
            </w:rPr>
            <w:t>2</w:t>
          </w:r>
        </w:p>
        <w:p>
          <w:pPr>
            <w:pStyle w:val="26"/>
            <w:tabs>
              <w:tab w:val="right" w:leader="dot" w:pos="9610"/>
            </w:tabs>
            <w:spacing w:line="360" w:lineRule="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_Toc19064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4.1监测记录</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1</w:t>
          </w:r>
          <w:r>
            <w:rPr>
              <w:rFonts w:hint="default" w:ascii="Times New Roman" w:hAnsi="Times New Roman" w:eastAsia="仿宋" w:cs="Times New Roman"/>
              <w:color w:val="auto"/>
              <w:sz w:val="28"/>
              <w:szCs w:val="28"/>
            </w:rPr>
            <w:fldChar w:fldCharType="end"/>
          </w:r>
          <w:r>
            <w:rPr>
              <w:rFonts w:hint="default" w:ascii="Times New Roman" w:hAnsi="Times New Roman" w:eastAsia="仿宋" w:cs="Times New Roman"/>
              <w:color w:val="auto"/>
              <w:sz w:val="28"/>
              <w:szCs w:val="28"/>
              <w:lang w:val="en-US" w:eastAsia="zh-CN"/>
            </w:rPr>
            <w:t>2</w:t>
          </w:r>
        </w:p>
        <w:p>
          <w:pPr>
            <w:pStyle w:val="26"/>
            <w:tabs>
              <w:tab w:val="right" w:leader="dot" w:pos="9610"/>
            </w:tabs>
            <w:spacing w:line="360" w:lineRule="auto"/>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_Toc10386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4.2水土保持监测报告</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1</w:t>
          </w:r>
          <w:r>
            <w:rPr>
              <w:rFonts w:hint="default" w:ascii="Times New Roman" w:hAnsi="Times New Roman" w:eastAsia="仿宋" w:cs="Times New Roman"/>
              <w:color w:val="auto"/>
              <w:sz w:val="28"/>
              <w:szCs w:val="28"/>
            </w:rPr>
            <w:fldChar w:fldCharType="end"/>
          </w:r>
          <w:r>
            <w:rPr>
              <w:rFonts w:hint="default" w:ascii="Times New Roman" w:hAnsi="Times New Roman" w:eastAsia="仿宋" w:cs="Times New Roman"/>
              <w:color w:val="auto"/>
              <w:sz w:val="28"/>
              <w:szCs w:val="28"/>
              <w:lang w:val="en-US" w:eastAsia="zh-CN"/>
            </w:rPr>
            <w:t>5</w:t>
          </w:r>
        </w:p>
        <w:p>
          <w:pPr>
            <w:pStyle w:val="25"/>
            <w:tabs>
              <w:tab w:val="right" w:leader="dot" w:pos="9610"/>
            </w:tabs>
            <w:spacing w:line="360" w:lineRule="auto"/>
            <w:rPr>
              <w:rFonts w:hint="default" w:ascii="Times New Roman" w:hAnsi="Times New Roman" w:eastAsia="黑体" w:cs="Times New Roman"/>
              <w:color w:val="auto"/>
              <w:kern w:val="2"/>
              <w:sz w:val="32"/>
              <w:szCs w:val="32"/>
              <w:lang w:val="en-US" w:eastAsia="zh-CN" w:bidi="ar-SA"/>
            </w:rPr>
          </w:pPr>
          <w:r>
            <w:rPr>
              <w:rFonts w:hint="default" w:ascii="Times New Roman" w:hAnsi="Times New Roman" w:eastAsia="黑体" w:cs="Times New Roman"/>
              <w:color w:val="auto"/>
              <w:kern w:val="2"/>
              <w:sz w:val="32"/>
              <w:szCs w:val="32"/>
              <w:lang w:val="en-US" w:eastAsia="zh-CN" w:bidi="ar-SA"/>
            </w:rPr>
            <w:fldChar w:fldCharType="begin"/>
          </w:r>
          <w:r>
            <w:rPr>
              <w:rFonts w:hint="default" w:ascii="Times New Roman" w:hAnsi="Times New Roman" w:eastAsia="黑体" w:cs="Times New Roman"/>
              <w:color w:val="auto"/>
              <w:kern w:val="2"/>
              <w:sz w:val="32"/>
              <w:szCs w:val="32"/>
              <w:lang w:val="en-US" w:eastAsia="zh-CN" w:bidi="ar-SA"/>
            </w:rPr>
            <w:instrText xml:space="preserve"> HYPERLINK \l _Toc9850 </w:instrText>
          </w:r>
          <w:r>
            <w:rPr>
              <w:rFonts w:hint="default" w:ascii="Times New Roman" w:hAnsi="Times New Roman" w:eastAsia="黑体" w:cs="Times New Roman"/>
              <w:color w:val="auto"/>
              <w:kern w:val="2"/>
              <w:sz w:val="32"/>
              <w:szCs w:val="32"/>
              <w:lang w:val="en-US" w:eastAsia="zh-CN" w:bidi="ar-SA"/>
            </w:rPr>
            <w:fldChar w:fldCharType="separate"/>
          </w:r>
          <w:r>
            <w:rPr>
              <w:rFonts w:hint="default" w:ascii="Times New Roman" w:hAnsi="Times New Roman" w:eastAsia="黑体" w:cs="Times New Roman"/>
              <w:color w:val="auto"/>
              <w:kern w:val="2"/>
              <w:sz w:val="32"/>
              <w:szCs w:val="32"/>
              <w:lang w:val="en-US" w:eastAsia="zh-CN" w:bidi="ar-SA"/>
            </w:rPr>
            <w:t>5监测工作组织与质量保证监测体系</w:t>
          </w:r>
          <w:r>
            <w:rPr>
              <w:rFonts w:hint="default" w:ascii="Times New Roman" w:hAnsi="Times New Roman" w:eastAsia="黑体" w:cs="Times New Roman"/>
              <w:color w:val="auto"/>
              <w:kern w:val="2"/>
              <w:sz w:val="32"/>
              <w:szCs w:val="32"/>
              <w:lang w:val="en-US" w:eastAsia="zh-CN" w:bidi="ar-SA"/>
            </w:rPr>
            <w:tab/>
          </w:r>
          <w:r>
            <w:rPr>
              <w:rFonts w:hint="default" w:ascii="Times New Roman" w:hAnsi="Times New Roman" w:eastAsia="黑体" w:cs="Times New Roman"/>
              <w:color w:val="auto"/>
              <w:kern w:val="2"/>
              <w:sz w:val="32"/>
              <w:szCs w:val="32"/>
              <w:lang w:val="en-US" w:eastAsia="zh-CN" w:bidi="ar-SA"/>
            </w:rPr>
            <w:t>1</w:t>
          </w:r>
          <w:r>
            <w:rPr>
              <w:rFonts w:hint="default" w:ascii="Times New Roman" w:hAnsi="Times New Roman" w:eastAsia="黑体" w:cs="Times New Roman"/>
              <w:color w:val="auto"/>
              <w:kern w:val="2"/>
              <w:sz w:val="32"/>
              <w:szCs w:val="32"/>
              <w:lang w:val="en-US" w:eastAsia="zh-CN" w:bidi="ar-SA"/>
            </w:rPr>
            <w:fldChar w:fldCharType="end"/>
          </w:r>
          <w:r>
            <w:rPr>
              <w:rFonts w:hint="default" w:ascii="Times New Roman" w:hAnsi="Times New Roman" w:eastAsia="黑体" w:cs="Times New Roman"/>
              <w:color w:val="auto"/>
              <w:kern w:val="2"/>
              <w:sz w:val="32"/>
              <w:szCs w:val="32"/>
              <w:lang w:val="en-US" w:eastAsia="zh-CN" w:bidi="ar-SA"/>
            </w:rPr>
            <w:t>6</w:t>
          </w:r>
        </w:p>
        <w:p>
          <w:pPr>
            <w:pStyle w:val="26"/>
            <w:tabs>
              <w:tab w:val="right" w:leader="dot" w:pos="9610"/>
            </w:tabs>
            <w:spacing w:line="360" w:lineRule="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_Toc32140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5.1监测工作组织</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1</w:t>
          </w:r>
          <w:r>
            <w:rPr>
              <w:rFonts w:hint="default" w:ascii="Times New Roman" w:hAnsi="Times New Roman" w:eastAsia="仿宋" w:cs="Times New Roman"/>
              <w:color w:val="auto"/>
              <w:sz w:val="28"/>
              <w:szCs w:val="28"/>
            </w:rPr>
            <w:fldChar w:fldCharType="end"/>
          </w:r>
          <w:r>
            <w:rPr>
              <w:rFonts w:hint="default" w:ascii="Times New Roman" w:hAnsi="Times New Roman" w:eastAsia="仿宋" w:cs="Times New Roman"/>
              <w:color w:val="auto"/>
              <w:sz w:val="28"/>
              <w:szCs w:val="28"/>
              <w:lang w:val="en-US" w:eastAsia="zh-CN"/>
            </w:rPr>
            <w:t>6</w:t>
          </w:r>
        </w:p>
        <w:p>
          <w:pPr>
            <w:pStyle w:val="26"/>
            <w:tabs>
              <w:tab w:val="right" w:leader="dot" w:pos="9610"/>
            </w:tabs>
            <w:spacing w:line="360" w:lineRule="auto"/>
            <w:rPr>
              <w:rFonts w:hint="default" w:ascii="Times New Roman" w:hAnsi="Times New Roman" w:eastAsia="仿宋" w:cs="Times New Roman"/>
              <w:color w:val="auto"/>
              <w:sz w:val="28"/>
              <w:szCs w:val="28"/>
              <w:lang w:val="en-US" w:eastAsia="zh-CN"/>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_Toc9768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5.2变更控制</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1</w:t>
          </w:r>
          <w:r>
            <w:rPr>
              <w:rFonts w:hint="default" w:ascii="Times New Roman" w:hAnsi="Times New Roman" w:eastAsia="仿宋" w:cs="Times New Roman"/>
              <w:color w:val="auto"/>
              <w:sz w:val="28"/>
              <w:szCs w:val="28"/>
            </w:rPr>
            <w:fldChar w:fldCharType="end"/>
          </w:r>
          <w:r>
            <w:rPr>
              <w:rFonts w:hint="default" w:ascii="Times New Roman" w:hAnsi="Times New Roman" w:eastAsia="仿宋" w:cs="Times New Roman"/>
              <w:color w:val="auto"/>
              <w:sz w:val="28"/>
              <w:szCs w:val="28"/>
              <w:lang w:val="en-US" w:eastAsia="zh-CN"/>
            </w:rPr>
            <w:t>6</w:t>
          </w:r>
        </w:p>
        <w:p>
          <w:pPr>
            <w:pStyle w:val="26"/>
            <w:tabs>
              <w:tab w:val="right" w:leader="dot" w:pos="9610"/>
            </w:tabs>
            <w:spacing w:line="360" w:lineRule="auto"/>
            <w:rPr>
              <w:rFonts w:hint="default" w:ascii="Times New Roman" w:hAnsi="Times New Roman" w:eastAsia="仿宋" w:cs="Times New Roman"/>
              <w:color w:val="auto"/>
              <w:lang w:val="en-US" w:eastAsia="zh-CN"/>
            </w:rPr>
          </w:pPr>
          <w:r>
            <w:rPr>
              <w:rFonts w:hint="default" w:ascii="Times New Roman" w:hAnsi="Times New Roman" w:eastAsia="仿宋" w:cs="Times New Roman"/>
              <w:color w:val="auto"/>
              <w:sz w:val="28"/>
              <w:szCs w:val="28"/>
            </w:rPr>
            <w:fldChar w:fldCharType="begin"/>
          </w:r>
          <w:r>
            <w:rPr>
              <w:rFonts w:hint="default" w:ascii="Times New Roman" w:hAnsi="Times New Roman" w:eastAsia="仿宋" w:cs="Times New Roman"/>
              <w:color w:val="auto"/>
              <w:sz w:val="28"/>
              <w:szCs w:val="28"/>
            </w:rPr>
            <w:instrText xml:space="preserve"> HYPERLINK \l _Toc592 </w:instrText>
          </w:r>
          <w:r>
            <w:rPr>
              <w:rFonts w:hint="default" w:ascii="Times New Roman" w:hAnsi="Times New Roman" w:eastAsia="仿宋" w:cs="Times New Roman"/>
              <w:color w:val="auto"/>
              <w:sz w:val="28"/>
              <w:szCs w:val="28"/>
            </w:rPr>
            <w:fldChar w:fldCharType="separate"/>
          </w:r>
          <w:r>
            <w:rPr>
              <w:rFonts w:hint="default" w:ascii="Times New Roman" w:hAnsi="Times New Roman" w:eastAsia="仿宋" w:cs="Times New Roman"/>
              <w:color w:val="auto"/>
              <w:sz w:val="28"/>
              <w:szCs w:val="28"/>
              <w:lang w:val="en-US" w:eastAsia="zh-CN"/>
            </w:rPr>
            <w:t>5.3质量控制体系</w:t>
          </w:r>
          <w:r>
            <w:rPr>
              <w:rFonts w:hint="default" w:ascii="Times New Roman" w:hAnsi="Times New Roman" w:eastAsia="仿宋" w:cs="Times New Roman"/>
              <w:color w:val="auto"/>
              <w:sz w:val="28"/>
              <w:szCs w:val="28"/>
            </w:rPr>
            <w:tab/>
          </w:r>
          <w:r>
            <w:rPr>
              <w:rFonts w:hint="default" w:ascii="Times New Roman" w:hAnsi="Times New Roman" w:eastAsia="仿宋" w:cs="Times New Roman"/>
              <w:color w:val="auto"/>
              <w:sz w:val="28"/>
              <w:szCs w:val="28"/>
              <w:lang w:val="en-US" w:eastAsia="zh-CN"/>
            </w:rPr>
            <w:t>1</w:t>
          </w:r>
          <w:r>
            <w:rPr>
              <w:rFonts w:hint="default" w:ascii="Times New Roman" w:hAnsi="Times New Roman" w:eastAsia="仿宋" w:cs="Times New Roman"/>
              <w:color w:val="auto"/>
              <w:sz w:val="28"/>
              <w:szCs w:val="28"/>
            </w:rPr>
            <w:fldChar w:fldCharType="end"/>
          </w:r>
          <w:r>
            <w:rPr>
              <w:rFonts w:hint="default" w:ascii="Times New Roman" w:hAnsi="Times New Roman" w:eastAsia="仿宋" w:cs="Times New Roman"/>
              <w:color w:val="auto"/>
              <w:sz w:val="28"/>
              <w:szCs w:val="28"/>
              <w:lang w:val="en-US" w:eastAsia="zh-CN"/>
            </w:rPr>
            <w:t>8</w:t>
          </w:r>
        </w:p>
        <w:p>
          <w:pPr>
            <w:spacing w:line="360" w:lineRule="auto"/>
            <w:rPr>
              <w:rFonts w:hint="default" w:ascii="Times New Roman" w:hAnsi="Times New Roman" w:cs="Times New Roman"/>
              <w:color w:val="auto"/>
            </w:rPr>
          </w:pPr>
          <w:r>
            <w:rPr>
              <w:rFonts w:hint="default" w:ascii="Times New Roman" w:hAnsi="Times New Roman" w:cs="Times New Roman"/>
              <w:b/>
              <w:color w:val="auto"/>
            </w:rPr>
            <w:fldChar w:fldCharType="end"/>
          </w:r>
        </w:p>
      </w:sdtContent>
    </w:sdt>
    <w:p>
      <w:pPr>
        <w:pStyle w:val="2"/>
        <w:numPr>
          <w:ilvl w:val="0"/>
          <w:numId w:val="0"/>
        </w:numPr>
        <w:bidi w:val="0"/>
        <w:spacing w:line="360" w:lineRule="auto"/>
        <w:rPr>
          <w:rFonts w:hint="default" w:ascii="Times New Roman" w:hAnsi="Times New Roman" w:cs="Times New Roman"/>
          <w:color w:val="auto"/>
          <w:lang w:val="en-US" w:eastAsia="zh-CN"/>
        </w:rPr>
        <w:sectPr>
          <w:headerReference r:id="rId5" w:type="default"/>
          <w:footerReference r:id="rId6" w:type="default"/>
          <w:pgSz w:w="11910" w:h="16840"/>
          <w:pgMar w:top="1440" w:right="1440" w:bottom="1440" w:left="1440" w:header="888" w:footer="994" w:gutter="0"/>
          <w:pgNumType w:fmt="decimal" w:start="1"/>
          <w:cols w:space="720" w:num="1"/>
        </w:sectPr>
      </w:pPr>
      <w:bookmarkStart w:id="7" w:name="_Toc18326"/>
    </w:p>
    <w:p>
      <w:pPr>
        <w:pStyle w:val="2"/>
        <w:numPr>
          <w:ilvl w:val="0"/>
          <w:numId w:val="0"/>
        </w:numPr>
        <w:bidi w:val="0"/>
        <w:spacing w:line="360" w:lineRule="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1、项目及项目区概括</w:t>
      </w:r>
      <w:bookmarkEnd w:id="6"/>
      <w:bookmarkEnd w:id="7"/>
    </w:p>
    <w:p>
      <w:pPr>
        <w:pStyle w:val="3"/>
        <w:bidi w:val="0"/>
        <w:spacing w:line="360" w:lineRule="auto"/>
        <w:rPr>
          <w:rFonts w:hint="default" w:ascii="Times New Roman" w:hAnsi="Times New Roman" w:cs="Times New Roman"/>
          <w:color w:val="auto"/>
          <w:lang w:val="en-US" w:eastAsia="zh-CN"/>
        </w:rPr>
      </w:pPr>
      <w:bookmarkStart w:id="8" w:name="_Toc31016"/>
      <w:bookmarkStart w:id="9" w:name="_Toc18889"/>
      <w:bookmarkStart w:id="10" w:name="_Toc8917"/>
      <w:r>
        <w:rPr>
          <w:rFonts w:hint="default" w:ascii="Times New Roman" w:hAnsi="Times New Roman" w:cs="Times New Roman"/>
          <w:color w:val="auto"/>
          <w:lang w:val="en-US" w:eastAsia="zh-CN"/>
        </w:rPr>
        <w:t>1.1项目概括</w:t>
      </w:r>
      <w:bookmarkEnd w:id="8"/>
      <w:bookmarkEnd w:id="9"/>
      <w:bookmarkEnd w:id="1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项目名称：衡阳华天路道路工程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建设性质：新建项目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建设地点：湖南省衡阳市珠晖区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建设单位：衡阳市城市建设投资有限公司</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rPr>
      </w:pPr>
      <w:r>
        <w:rPr>
          <w:rFonts w:hint="default" w:ascii="Times New Roman" w:hAnsi="Times New Roman" w:cs="Times New Roman"/>
          <w:color w:val="auto"/>
          <w:lang w:val="en-US" w:eastAsia="zh-CN"/>
        </w:rPr>
        <w:t>建设目的：进入新的世纪，衡阳市必须走内涵发展的道路，不断改善城市环境，真正提升城市品位，塑造新的城市形象，为城市发展打下坚实的基础。而市政基础设施是加快衡阳市城市建设的基础，在主体骨架基础上，通过对城市路网的细部梳理，真正体现以人为本、以环境为中心，高标准的指导思想，建设好衡阳市华天路，从而提高整个城市的品味，促进城市经济发展史。衡阳市华天路工程的建设</w:t>
      </w:r>
      <w:r>
        <w:rPr>
          <w:rFonts w:hint="default" w:ascii="Times New Roman" w:hAnsi="Times New Roman" w:cs="Times New Roman"/>
          <w:color w:val="auto"/>
          <w:kern w:val="0"/>
        </w:rPr>
        <w:t>可以进一步完善衡阳市中心城区路网结构，改善基础设施条件，缓解交通压力。它的建成可以拉通区域交通，大大缓解酃湖乡交通紧张的局面。项目的建设是适应衡阳市城市功能发展的需要，随着珠晖区多年的发展，人口增长，交通量增大，为了缓减交通压力，促进衡阳市经济发展，提高城市品位，亮化美化城市道路，改善市容市貌，因此本项目的建设显得十分迫切和必要。</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lang w:val="en-US" w:eastAsia="zh-CN"/>
        </w:rPr>
      </w:pPr>
      <w:r>
        <w:rPr>
          <w:rFonts w:hint="default" w:ascii="Times New Roman" w:hAnsi="Times New Roman" w:cs="Times New Roman"/>
          <w:color w:val="auto"/>
          <w:kern w:val="0"/>
          <w:lang w:val="en-US" w:eastAsia="zh-CN"/>
        </w:rPr>
        <w:t>所属流域：长江流域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lang w:val="en-US" w:eastAsia="zh-CN"/>
        </w:rPr>
      </w:pPr>
      <w:r>
        <w:rPr>
          <w:rFonts w:hint="default" w:ascii="Times New Roman" w:hAnsi="Times New Roman" w:cs="Times New Roman"/>
          <w:color w:val="auto"/>
          <w:kern w:val="0"/>
          <w:lang w:val="en-US" w:eastAsia="zh-CN"/>
        </w:rPr>
        <w:t>施工工期：工程将于2016年10月开工，至2017年6月通车，总工期8个月。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lang w:val="en-US" w:eastAsia="zh-CN"/>
        </w:rPr>
      </w:pPr>
      <w:r>
        <w:rPr>
          <w:rFonts w:hint="default" w:ascii="Times New Roman" w:hAnsi="Times New Roman" w:cs="Times New Roman"/>
          <w:color w:val="auto"/>
          <w:kern w:val="0"/>
          <w:lang w:val="en-US" w:eastAsia="zh-CN"/>
        </w:rPr>
        <w:t>工程投资：本项目总投资4975.35万元，其中土建3187万元。</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lang w:val="en-US" w:eastAsia="zh-CN"/>
        </w:rPr>
      </w:pPr>
      <w:r>
        <w:rPr>
          <w:rFonts w:hint="default" w:ascii="Times New Roman" w:hAnsi="Times New Roman" w:cs="Times New Roman"/>
          <w:color w:val="auto"/>
          <w:kern w:val="0"/>
          <w:lang w:val="en-US" w:eastAsia="zh-CN"/>
        </w:rPr>
        <w:t>水保方案批复情况：2016年9月27日衡阳市水利局以《衡阳市华天路新建工程水土保持方案批复》（衡水许【2016】34号）对该方案报告书进行批复。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lang w:val="en-US" w:eastAsia="zh-CN"/>
        </w:rPr>
      </w:pPr>
      <w:r>
        <w:rPr>
          <w:rFonts w:hint="default" w:ascii="Times New Roman" w:hAnsi="Times New Roman" w:cs="Times New Roman"/>
          <w:color w:val="auto"/>
          <w:kern w:val="0"/>
          <w:lang w:val="en-US" w:eastAsia="zh-CN"/>
        </w:rPr>
        <w:t>工程基本如下：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lang w:val="en-US" w:eastAsia="zh-CN"/>
        </w:rPr>
      </w:pPr>
      <w:r>
        <w:rPr>
          <w:rFonts w:hint="default" w:ascii="Times New Roman" w:hAnsi="Times New Roman" w:cs="Times New Roman"/>
          <w:color w:val="auto"/>
          <w:kern w:val="0"/>
          <w:lang w:val="en-US" w:eastAsia="zh-CN"/>
        </w:rPr>
        <w:t>工程建设内容包括道路工程、排水系统工程、路灯灯照明工程、交通管制设施、交通标志、标线、及公交车停靠站等交通设施工程。</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lang w:val="en-US" w:eastAsia="zh-CN"/>
        </w:rPr>
      </w:pPr>
      <w:r>
        <w:rPr>
          <w:rFonts w:hint="default" w:ascii="Times New Roman" w:hAnsi="Times New Roman" w:cs="Times New Roman"/>
          <w:color w:val="auto"/>
          <w:kern w:val="0"/>
          <w:lang w:val="en-US" w:eastAsia="zh-CN"/>
        </w:rPr>
        <w:t>工程总占地面积8.51</w:t>
      </w:r>
      <w:r>
        <w:rPr>
          <w:rFonts w:hint="default" w:ascii="Times New Roman" w:hAnsi="Times New Roman" w:eastAsia="Times New Roman" w:cs="Times New Roman"/>
          <w:color w:val="auto"/>
          <w:sz w:val="24"/>
        </w:rPr>
        <w:t>hm</w:t>
      </w:r>
      <w:r>
        <w:rPr>
          <w:rFonts w:hint="default" w:ascii="Times New Roman" w:hAnsi="Times New Roman" w:eastAsia="Times New Roman" w:cs="Times New Roman"/>
          <w:color w:val="auto"/>
          <w:position w:val="9"/>
          <w:sz w:val="16"/>
        </w:rPr>
        <w:t>2</w:t>
      </w:r>
      <w:r>
        <w:rPr>
          <w:rFonts w:hint="default" w:ascii="Times New Roman" w:hAnsi="Times New Roman" w:cs="Times New Roman"/>
          <w:color w:val="auto"/>
          <w:sz w:val="24"/>
        </w:rPr>
        <w:t>，</w:t>
      </w:r>
      <w:r>
        <w:rPr>
          <w:rFonts w:hint="default" w:ascii="Times New Roman" w:hAnsi="Times New Roman" w:cs="Times New Roman"/>
          <w:color w:val="auto"/>
          <w:kern w:val="0"/>
          <w:lang w:val="en-US" w:eastAsia="zh-CN"/>
        </w:rPr>
        <w:t>5.21</w:t>
      </w:r>
      <w:r>
        <w:rPr>
          <w:rFonts w:hint="default" w:ascii="Times New Roman" w:hAnsi="Times New Roman" w:eastAsia="Times New Roman" w:cs="Times New Roman"/>
          <w:color w:val="auto"/>
          <w:sz w:val="24"/>
        </w:rPr>
        <w:t>hm</w:t>
      </w:r>
      <w:r>
        <w:rPr>
          <w:rFonts w:hint="default" w:ascii="Times New Roman" w:hAnsi="Times New Roman" w:eastAsia="Times New Roman" w:cs="Times New Roman"/>
          <w:color w:val="auto"/>
          <w:position w:val="9"/>
          <w:sz w:val="16"/>
        </w:rPr>
        <w:t>2</w:t>
      </w:r>
      <w:r>
        <w:rPr>
          <w:rFonts w:hint="default" w:ascii="Times New Roman" w:hAnsi="Times New Roman" w:cs="Times New Roman"/>
          <w:color w:val="auto"/>
          <w:sz w:val="24"/>
          <w:lang w:val="en-US" w:eastAsia="zh-CN"/>
        </w:rPr>
        <w:t>为永久占地，</w:t>
      </w:r>
      <w:r>
        <w:rPr>
          <w:rFonts w:hint="default" w:ascii="Times New Roman" w:hAnsi="Times New Roman" w:cs="Times New Roman"/>
          <w:color w:val="auto"/>
          <w:kern w:val="0"/>
          <w:lang w:val="en-US" w:eastAsia="zh-CN"/>
        </w:rPr>
        <w:t>3.3</w:t>
      </w:r>
      <w:r>
        <w:rPr>
          <w:rFonts w:hint="default" w:ascii="Times New Roman" w:hAnsi="Times New Roman" w:eastAsia="Times New Roman" w:cs="Times New Roman"/>
          <w:color w:val="auto"/>
          <w:sz w:val="24"/>
        </w:rPr>
        <w:t>hm</w:t>
      </w:r>
      <w:r>
        <w:rPr>
          <w:rFonts w:hint="default" w:ascii="Times New Roman" w:hAnsi="Times New Roman" w:eastAsia="Times New Roman" w:cs="Times New Roman"/>
          <w:color w:val="auto"/>
          <w:position w:val="9"/>
          <w:sz w:val="16"/>
        </w:rPr>
        <w:t>2</w:t>
      </w:r>
      <w:r>
        <w:rPr>
          <w:rFonts w:hint="default" w:ascii="Times New Roman" w:hAnsi="Times New Roman" w:cs="Times New Roman"/>
          <w:color w:val="auto"/>
          <w:sz w:val="24"/>
          <w:lang w:val="en-US" w:eastAsia="zh-CN"/>
        </w:rPr>
        <w:t>临时占地。</w:t>
      </w:r>
    </w:p>
    <w:p>
      <w:pPr>
        <w:keepNext w:val="0"/>
        <w:keepLines w:val="0"/>
        <w:pageBreakBefore w:val="0"/>
        <w:widowControl w:val="0"/>
        <w:numPr>
          <w:ilvl w:val="0"/>
          <w:numId w:val="1"/>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lang w:val="en-US" w:eastAsia="zh-CN"/>
        </w:rPr>
      </w:pPr>
      <w:r>
        <w:rPr>
          <w:rFonts w:hint="default" w:ascii="Times New Roman" w:hAnsi="Times New Roman" w:cs="Times New Roman"/>
          <w:color w:val="auto"/>
          <w:kern w:val="0"/>
          <w:lang w:val="en-US" w:eastAsia="zh-CN"/>
        </w:rPr>
        <w:t>工程总挖方5.02万m³，填方12.74万m³，借方12.74万m³，弃方5.02万m³。</w:t>
      </w:r>
    </w:p>
    <w:p>
      <w:pPr>
        <w:pStyle w:val="3"/>
        <w:bidi w:val="0"/>
        <w:rPr>
          <w:rFonts w:hint="default" w:ascii="Times New Roman" w:hAnsi="Times New Roman" w:cs="Times New Roman"/>
          <w:color w:val="auto"/>
          <w:lang w:val="en-US" w:eastAsia="zh-CN"/>
        </w:rPr>
      </w:pPr>
      <w:bookmarkStart w:id="11" w:name="_Toc24626"/>
      <w:bookmarkStart w:id="12" w:name="_Toc15795"/>
      <w:bookmarkStart w:id="13" w:name="_Toc14591"/>
      <w:r>
        <w:rPr>
          <w:rFonts w:hint="default" w:ascii="Times New Roman" w:hAnsi="Times New Roman" w:cs="Times New Roman"/>
          <w:color w:val="auto"/>
          <w:lang w:val="en-US" w:eastAsia="zh-CN"/>
        </w:rPr>
        <w:t>1.2项目区概括</w:t>
      </w:r>
      <w:bookmarkEnd w:id="11"/>
      <w:bookmarkEnd w:id="12"/>
      <w:bookmarkEnd w:id="1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衡阳市华天路工程位于衡阳市珠晖区，沿线多为填土堆积区，鱼塘局部分布，葡萄园广泛分布；拟建线路所经地段原始地貌单元为剥蚀残丘地貌。总体呈北高南低趋势，地形起伏较大，地面高程为54.10m—56.10m。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衡阳市属亚热带季风湿润气候，春夏多雨、秋冬干旱，冬寒夏热。年平均气温18.1℃，最热季节7~9月。多年平均降雨量1395.1mm，蒸发量1426mm，无霜期282天，平均相对湿度78%。全年盛行北风和东北风，年平均风速1.9m/s，平均风力2.5级。</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项目区位于中南地区凹形面轴带部分，周围环绕着古老宕层形成的断续环带的岭脊山地，内镶大面积白垩系和下第三系红层的红色丘陵台地，构成典型的盆地形势。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项目区属亚热带常绿落叶阔叶林区，区域内植被以天然次生植物和人工林为主。植物类型主要是常绿阔叶林、针叶阔叶林、灌丛矮林和荒草，林草覆盖率为79.4%。</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本工程属耒水流域，耒水是湘江重要支流。根据湘政函[2005]5号批复的《湖南省水功能区划》，本工程不属湖南省水功能一级区划和二级区划范围，本工程不涉饮用水水源保护区。</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根据湖南省人民政府《关于划分水土流失重点防治区的公告》（湘政函</w:t>
      </w:r>
      <w:r>
        <w:rPr>
          <w:rFonts w:hint="default" w:ascii="Times New Roman" w:hAnsi="Times New Roman" w:eastAsia="仿宋" w:cs="Times New Roman"/>
          <w:color w:val="auto"/>
          <w:kern w:val="2"/>
          <w:sz w:val="24"/>
          <w:szCs w:val="24"/>
          <w:lang w:val="en-US" w:eastAsia="zh-CN" w:bidi="ar-SA"/>
        </w:rPr>
        <w:t>[1999]115</w:t>
      </w:r>
      <w:r>
        <w:rPr>
          <w:rFonts w:hint="default" w:ascii="Times New Roman" w:hAnsi="Times New Roman" w:cs="Times New Roman"/>
          <w:color w:val="auto"/>
        </w:rPr>
        <w:t>号），本项目建设区为湘中红壤丘陵重点治理区，土壤侵蚀以中度或轻度水力侵蚀为主，属水力侵蚀一级类型区中的南方红壤区，该区土壤容许流失量为</w:t>
      </w:r>
      <w:r>
        <w:rPr>
          <w:rFonts w:hint="default" w:ascii="Times New Roman" w:hAnsi="Times New Roman" w:eastAsia="仿宋" w:cs="Times New Roman"/>
          <w:color w:val="auto"/>
          <w:kern w:val="2"/>
          <w:sz w:val="24"/>
          <w:szCs w:val="24"/>
          <w:lang w:val="en-US" w:eastAsia="zh-CN" w:bidi="ar-SA"/>
        </w:rPr>
        <w:t>500t/km²·a</w:t>
      </w:r>
      <w:r>
        <w:rPr>
          <w:rFonts w:hint="default" w:ascii="Times New Roman" w:hAnsi="Times New Roman" w:cs="Times New Roman"/>
          <w:color w:val="auto"/>
        </w:rPr>
        <w:t>。</w:t>
      </w:r>
    </w:p>
    <w:p>
      <w:pPr>
        <w:pStyle w:val="3"/>
        <w:bidi w:val="0"/>
        <w:rPr>
          <w:rFonts w:hint="default" w:ascii="Times New Roman" w:hAnsi="Times New Roman" w:cs="Times New Roman"/>
          <w:color w:val="auto"/>
          <w:lang w:val="en-US" w:eastAsia="zh-CN"/>
        </w:rPr>
      </w:pPr>
      <w:bookmarkStart w:id="14" w:name="_Toc13328"/>
      <w:bookmarkStart w:id="15" w:name="_Toc3613"/>
      <w:bookmarkStart w:id="16" w:name="_Toc2879"/>
      <w:r>
        <w:rPr>
          <w:rFonts w:hint="default" w:ascii="Times New Roman" w:hAnsi="Times New Roman" w:cs="Times New Roman"/>
          <w:color w:val="auto"/>
          <w:lang w:val="en-US" w:eastAsia="zh-CN"/>
        </w:rPr>
        <w:t>1.3水土流失布局</w:t>
      </w:r>
      <w:bookmarkEnd w:id="14"/>
      <w:bookmarkEnd w:id="15"/>
      <w:bookmarkEnd w:id="1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kern w:val="2"/>
          <w:sz w:val="24"/>
          <w:szCs w:val="24"/>
          <w:lang w:val="en-US" w:eastAsia="zh-CN" w:bidi="ar-SA"/>
        </w:rPr>
      </w:pPr>
      <w:r>
        <w:rPr>
          <w:rFonts w:hint="default" w:ascii="Times New Roman" w:hAnsi="Times New Roman" w:cs="Times New Roman"/>
          <w:color w:val="auto"/>
          <w:lang w:val="en-US" w:eastAsia="zh-CN"/>
        </w:rPr>
        <w:t>根据《开发建设水土流失防治标准》的要求，本项目的防治目标值为扰土整治率95%，造成水土流失总治理度</w:t>
      </w:r>
      <w:r>
        <w:rPr>
          <w:rFonts w:hint="default" w:ascii="Times New Roman" w:hAnsi="Times New Roman" w:eastAsia="仿宋" w:cs="Times New Roman"/>
          <w:color w:val="auto"/>
          <w:kern w:val="2"/>
          <w:sz w:val="24"/>
          <w:szCs w:val="24"/>
          <w:lang w:val="en-US" w:eastAsia="zh-CN" w:bidi="ar-SA"/>
        </w:rPr>
        <w:t>97%</w:t>
      </w:r>
      <w:r>
        <w:rPr>
          <w:rFonts w:hint="default" w:ascii="Times New Roman" w:hAnsi="Times New Roman" w:cs="Times New Roman"/>
          <w:color w:val="auto"/>
          <w:lang w:val="en-US" w:eastAsia="zh-CN"/>
        </w:rPr>
        <w:t>，水土流失控制比</w:t>
      </w:r>
      <w:r>
        <w:rPr>
          <w:rFonts w:hint="default" w:ascii="Times New Roman" w:hAnsi="Times New Roman" w:eastAsia="仿宋" w:cs="Times New Roman"/>
          <w:color w:val="auto"/>
          <w:kern w:val="2"/>
          <w:sz w:val="24"/>
          <w:szCs w:val="24"/>
          <w:lang w:val="en-US" w:eastAsia="zh-CN" w:bidi="ar-SA"/>
        </w:rPr>
        <w:t>1，</w:t>
      </w:r>
      <w:r>
        <w:rPr>
          <w:rFonts w:hint="default" w:ascii="Times New Roman" w:hAnsi="Times New Roman" w:cs="Times New Roman"/>
          <w:color w:val="auto"/>
          <w:lang w:val="en-US" w:eastAsia="zh-CN"/>
        </w:rPr>
        <w:t>拦渣率</w:t>
      </w:r>
      <w:r>
        <w:rPr>
          <w:rFonts w:hint="default" w:ascii="Times New Roman" w:hAnsi="Times New Roman" w:eastAsia="仿宋" w:cs="Times New Roman"/>
          <w:color w:val="auto"/>
          <w:kern w:val="2"/>
          <w:sz w:val="24"/>
          <w:szCs w:val="24"/>
          <w:lang w:val="en-US" w:eastAsia="zh-CN" w:bidi="ar-SA"/>
        </w:rPr>
        <w:t>95%，林草恢复系数99%，林草覆盖率27%。</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水土保持方案按照工程措施和植物措施相结合，永久工程与临时工程、预防保护措施相结合，全面防治与重点治理相结合，安全保护和资源保护相结合的原则布设水土保持措施。</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主体工程区：对主体工程区及附属设施区主要是做好预防保护及土石方平衡和合理调运利用，优化施工工艺，做好施工过程中的临时拦挡、排水和覆盖等保护，修建路基截排水设施、做好边坡防护和公路植被绿化，美化工路景观。</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临时占地区：对临时占地区域应修好截排水设施、修好截水沟，覆土复耕或种植林草。</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施工便道区：对施工便道区主要是做好施工过程中的临时拦挡、截排水及路基边坡防护等，施工结束后，进行场地平整，覆土复耕或种植林草。</w:t>
      </w:r>
    </w:p>
    <w:p>
      <w:pPr>
        <w:keepNext w:val="0"/>
        <w:keepLines w:val="0"/>
        <w:pageBreakBefore w:val="0"/>
        <w:widowControl w:val="0"/>
        <w:numPr>
          <w:ilvl w:val="0"/>
          <w:numId w:val="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施工生产生活区：对施工生产生活区主要是采取表土剥离、临时排水、拦挡及覆盖等措施，对场地进行场地清理和平整，恢复耕作。</w:t>
      </w:r>
    </w:p>
    <w:p>
      <w:pPr>
        <w:pStyle w:val="3"/>
        <w:bidi w:val="0"/>
        <w:rPr>
          <w:rFonts w:hint="default" w:ascii="Times New Roman" w:hAnsi="Times New Roman" w:cs="Times New Roman"/>
          <w:color w:val="auto"/>
          <w:lang w:val="en-US" w:eastAsia="zh-CN"/>
        </w:rPr>
      </w:pPr>
      <w:bookmarkStart w:id="17" w:name="_Toc7214"/>
      <w:bookmarkStart w:id="18" w:name="_Toc12123"/>
      <w:bookmarkStart w:id="19" w:name="_Toc18609"/>
      <w:r>
        <w:rPr>
          <w:rFonts w:hint="default" w:ascii="Times New Roman" w:hAnsi="Times New Roman" w:cs="Times New Roman"/>
          <w:color w:val="auto"/>
          <w:lang w:val="en-US" w:eastAsia="zh-CN"/>
        </w:rPr>
        <w:t>1.4监测准备期现场调查评价</w:t>
      </w:r>
      <w:bookmarkEnd w:id="17"/>
      <w:bookmarkEnd w:id="18"/>
      <w:bookmarkEnd w:id="1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val="en-US" w:eastAsia="zh-CN"/>
        </w:rPr>
        <w:t>我公司与2016年10月</w:t>
      </w:r>
      <w:r>
        <w:rPr>
          <w:rFonts w:hint="default" w:ascii="Times New Roman" w:hAnsi="Times New Roman" w:cs="Times New Roman"/>
          <w:color w:val="auto"/>
          <w:spacing w:val="-2"/>
        </w:rPr>
        <w:t>对整个工程进行各分区全面现场检查，场地不存在明显的</w:t>
      </w:r>
      <w:r>
        <w:rPr>
          <w:rFonts w:hint="default" w:ascii="Times New Roman" w:hAnsi="Times New Roman" w:cs="Times New Roman"/>
          <w:color w:val="auto"/>
        </w:rPr>
        <w:t>水土流失，水土流失现状以微度为主。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各区域现状见下图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rPr>
        <w:t>根据现场调查，项目主体工程区主要利用原有用地进行改造，目前场内排水设施完善</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临时占地区域排水设施完善，路面硬化完工后绿化等措施到位；施工便道区在施工过程中各种措施基本到位；施工生产生活区表土剥离、排水设施，场地清理和平整，恢复耕作等措施基本到位。</w:t>
      </w:r>
    </w:p>
    <w:p>
      <w:pPr>
        <w:pStyle w:val="2"/>
        <w:bidi w:val="0"/>
        <w:spacing w:line="360" w:lineRule="auto"/>
        <w:outlineLvl w:val="9"/>
        <w:rPr>
          <w:rFonts w:hint="default" w:ascii="Times New Roman" w:hAnsi="Times New Roman" w:cs="Times New Roman"/>
          <w:color w:val="auto"/>
          <w:lang w:val="en-US" w:eastAsia="zh-CN"/>
        </w:rPr>
      </w:pPr>
      <w:bookmarkStart w:id="20" w:name="_Toc6293"/>
    </w:p>
    <w:p>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drawing>
          <wp:inline distT="0" distB="0" distL="114300" distR="114300">
            <wp:extent cx="5276850" cy="3169920"/>
            <wp:effectExtent l="0" t="0" r="11430" b="0"/>
            <wp:docPr id="5" name="图片 5" descr="微信图片_202112271428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微信图片_20211227142849"/>
                    <pic:cNvPicPr>
                      <a:picLocks noChangeAspect="1"/>
                    </pic:cNvPicPr>
                  </pic:nvPicPr>
                  <pic:blipFill>
                    <a:blip r:embed="rId43"/>
                    <a:stretch>
                      <a:fillRect/>
                    </a:stretch>
                  </pic:blipFill>
                  <pic:spPr>
                    <a:xfrm>
                      <a:off x="0" y="0"/>
                      <a:ext cx="5276850" cy="3169920"/>
                    </a:xfrm>
                    <a:prstGeom prst="rect">
                      <a:avLst/>
                    </a:prstGeom>
                  </pic:spPr>
                </pic:pic>
              </a:graphicData>
            </a:graphic>
          </wp:inline>
        </w:drawing>
      </w:r>
    </w:p>
    <w:p>
      <w:pPr>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drawing>
          <wp:inline distT="0" distB="0" distL="114300" distR="114300">
            <wp:extent cx="6096000" cy="3832860"/>
            <wp:effectExtent l="0" t="0" r="0" b="7620"/>
            <wp:docPr id="6" name="图片 6" descr="微信图片_20211227142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微信图片_20211227142845"/>
                    <pic:cNvPicPr>
                      <a:picLocks noChangeAspect="1"/>
                    </pic:cNvPicPr>
                  </pic:nvPicPr>
                  <pic:blipFill>
                    <a:blip r:embed="rId44"/>
                    <a:stretch>
                      <a:fillRect/>
                    </a:stretch>
                  </pic:blipFill>
                  <pic:spPr>
                    <a:xfrm>
                      <a:off x="0" y="0"/>
                      <a:ext cx="6096000" cy="3832860"/>
                    </a:xfrm>
                    <a:prstGeom prst="rect">
                      <a:avLst/>
                    </a:prstGeom>
                  </pic:spPr>
                </pic:pic>
              </a:graphicData>
            </a:graphic>
          </wp:inline>
        </w:drawing>
      </w:r>
    </w:p>
    <w:p>
      <w:pPr>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drawing>
          <wp:inline distT="0" distB="0" distL="114300" distR="114300">
            <wp:extent cx="5918835" cy="3981450"/>
            <wp:effectExtent l="0" t="0" r="9525" b="11430"/>
            <wp:docPr id="7" name="图片 7" descr="微信图片_20211227142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微信图片_20211227142854"/>
                    <pic:cNvPicPr>
                      <a:picLocks noChangeAspect="1"/>
                    </pic:cNvPicPr>
                  </pic:nvPicPr>
                  <pic:blipFill>
                    <a:blip r:embed="rId45"/>
                    <a:stretch>
                      <a:fillRect/>
                    </a:stretch>
                  </pic:blipFill>
                  <pic:spPr>
                    <a:xfrm>
                      <a:off x="0" y="0"/>
                      <a:ext cx="5918835" cy="3981450"/>
                    </a:xfrm>
                    <a:prstGeom prst="rect">
                      <a:avLst/>
                    </a:prstGeom>
                  </pic:spPr>
                </pic:pic>
              </a:graphicData>
            </a:graphic>
          </wp:inline>
        </w:drawing>
      </w:r>
    </w:p>
    <w:p>
      <w:pPr>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drawing>
          <wp:inline distT="0" distB="0" distL="114300" distR="114300">
            <wp:extent cx="5958840" cy="4022090"/>
            <wp:effectExtent l="0" t="0" r="0" b="1270"/>
            <wp:docPr id="8" name="图片 8" descr="微信图片_20211227142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descr="微信图片_20211227142901"/>
                    <pic:cNvPicPr>
                      <a:picLocks noChangeAspect="1"/>
                    </pic:cNvPicPr>
                  </pic:nvPicPr>
                  <pic:blipFill>
                    <a:blip r:embed="rId46"/>
                    <a:stretch>
                      <a:fillRect/>
                    </a:stretch>
                  </pic:blipFill>
                  <pic:spPr>
                    <a:xfrm>
                      <a:off x="0" y="0"/>
                      <a:ext cx="5958840" cy="4022090"/>
                    </a:xfrm>
                    <a:prstGeom prst="rect">
                      <a:avLst/>
                    </a:prstGeom>
                  </pic:spPr>
                </pic:pic>
              </a:graphicData>
            </a:graphic>
          </wp:inline>
        </w:drawing>
      </w:r>
    </w:p>
    <w:p>
      <w:pPr>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p>
    <w:p>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drawing>
          <wp:inline distT="0" distB="0" distL="114300" distR="114300">
            <wp:extent cx="5778500" cy="3932555"/>
            <wp:effectExtent l="0" t="0" r="12700" b="14605"/>
            <wp:docPr id="9" name="图片 9" descr="微信图片_2021122714290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descr="微信图片_20211227142908"/>
                    <pic:cNvPicPr>
                      <a:picLocks noChangeAspect="1"/>
                    </pic:cNvPicPr>
                  </pic:nvPicPr>
                  <pic:blipFill>
                    <a:blip r:embed="rId47"/>
                    <a:stretch>
                      <a:fillRect/>
                    </a:stretch>
                  </pic:blipFill>
                  <pic:spPr>
                    <a:xfrm>
                      <a:off x="0" y="0"/>
                      <a:ext cx="5778500" cy="3932555"/>
                    </a:xfrm>
                    <a:prstGeom prst="rect">
                      <a:avLst/>
                    </a:prstGeom>
                  </pic:spPr>
                </pic:pic>
              </a:graphicData>
            </a:graphic>
          </wp:inline>
        </w:drawing>
      </w:r>
    </w:p>
    <w:p>
      <w:pPr>
        <w:rPr>
          <w:rFonts w:hint="default" w:ascii="Times New Roman" w:hAnsi="Times New Roman" w:cs="Times New Roman"/>
          <w:color w:val="auto"/>
          <w:lang w:val="en-US" w:eastAsia="zh-CN"/>
        </w:rPr>
        <w:sectPr>
          <w:footerReference r:id="rId7" w:type="default"/>
          <w:pgSz w:w="11910" w:h="16840"/>
          <w:pgMar w:top="1440" w:right="1440" w:bottom="1440" w:left="1440" w:header="888" w:footer="994" w:gutter="0"/>
          <w:pgNumType w:fmt="decimal" w:start="1"/>
          <w:cols w:space="720" w:num="1"/>
        </w:sectPr>
      </w:pPr>
    </w:p>
    <w:p>
      <w:pPr>
        <w:pStyle w:val="2"/>
        <w:bidi w:val="0"/>
        <w:spacing w:line="240" w:lineRule="auto"/>
        <w:rPr>
          <w:rFonts w:hint="default" w:ascii="Times New Roman" w:hAnsi="Times New Roman" w:cs="Times New Roman"/>
          <w:color w:val="auto"/>
          <w:lang w:val="en-US" w:eastAsia="zh-CN"/>
        </w:rPr>
      </w:pPr>
      <w:bookmarkStart w:id="21" w:name="_Toc10028"/>
      <w:bookmarkStart w:id="22" w:name="_Toc10411"/>
      <w:r>
        <w:rPr>
          <w:rFonts w:hint="default" w:ascii="Times New Roman" w:hAnsi="Times New Roman" w:cs="Times New Roman"/>
          <w:color w:val="auto"/>
          <w:lang w:val="en-US" w:eastAsia="zh-CN"/>
        </w:rPr>
        <w:t>2、水土监测布局</w:t>
      </w:r>
      <w:bookmarkEnd w:id="20"/>
      <w:bookmarkEnd w:id="21"/>
      <w:bookmarkEnd w:id="22"/>
    </w:p>
    <w:p>
      <w:pPr>
        <w:pStyle w:val="3"/>
        <w:bidi w:val="0"/>
        <w:spacing w:line="240" w:lineRule="auto"/>
        <w:rPr>
          <w:rFonts w:hint="default" w:ascii="Times New Roman" w:hAnsi="Times New Roman" w:cs="Times New Roman"/>
          <w:color w:val="auto"/>
          <w:lang w:val="en-US" w:eastAsia="zh-CN"/>
        </w:rPr>
      </w:pPr>
      <w:bookmarkStart w:id="23" w:name="_Toc22398"/>
      <w:bookmarkStart w:id="24" w:name="_Toc600"/>
      <w:bookmarkStart w:id="25" w:name="_Toc24773"/>
      <w:r>
        <w:rPr>
          <w:rFonts w:hint="default" w:ascii="Times New Roman" w:hAnsi="Times New Roman" w:cs="Times New Roman"/>
          <w:color w:val="auto"/>
          <w:lang w:val="en-US" w:eastAsia="zh-CN"/>
        </w:rPr>
        <w:t>2.1监测目标和任务</w:t>
      </w:r>
      <w:bookmarkEnd w:id="23"/>
      <w:bookmarkEnd w:id="24"/>
      <w:bookmarkEnd w:id="2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开发建设项目水土监测是从保护水土资源和维护良好的生态环境出发，运用多种手段和方法，对新增水土流失的成因、数量、强度、影响范围和后果进行监测，是防治水土流失的一项基础性工作。本工程水土保持监测目标和任务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w:t>
      </w:r>
      <w:r>
        <w:rPr>
          <w:rFonts w:hint="default" w:ascii="Times New Roman" w:hAnsi="Times New Roman" w:cs="Times New Roman"/>
          <w:color w:val="auto"/>
        </w:rPr>
        <w:t>协助建设单位落实水土保持方案，实时掌握工程建设区水土流失情况加强水土保持设计和施工管理，优化水土流失防治措施，协调水土保持工程与主体工程建设进度；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rPr>
        <w:t>及时、准确掌握开发建设项目水土流失状况和防治效果，评价工程建设对水土流失的实际影响，了解开发建设项目水土保持方案实施情况及各项水土保持措施的实施效果和合理性，提出水土保持改进措施，减少人为水土流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3</w:t>
      </w:r>
      <w:r>
        <w:rPr>
          <w:rFonts w:hint="default" w:ascii="Times New Roman" w:hAnsi="Times New Roman" w:cs="Times New Roman"/>
          <w:color w:val="auto"/>
          <w:lang w:eastAsia="zh-CN"/>
        </w:rPr>
        <w:t>）</w:t>
      </w:r>
      <w:r>
        <w:rPr>
          <w:rFonts w:hint="default" w:ascii="Times New Roman" w:hAnsi="Times New Roman" w:cs="Times New Roman"/>
          <w:color w:val="auto"/>
        </w:rPr>
        <w:t>及时发现重大水土流失隐患，提出水土流失防治对策与建议，为工程安全建设和运行服务，同时也为今后同类建设项目的水土保持提供借鉴；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4</w:t>
      </w:r>
      <w:r>
        <w:rPr>
          <w:rFonts w:hint="default" w:ascii="Times New Roman" w:hAnsi="Times New Roman" w:cs="Times New Roman"/>
          <w:color w:val="auto"/>
          <w:lang w:eastAsia="zh-CN"/>
        </w:rPr>
        <w:t>）</w:t>
      </w:r>
      <w:r>
        <w:rPr>
          <w:rFonts w:hint="default" w:ascii="Times New Roman" w:hAnsi="Times New Roman" w:cs="Times New Roman"/>
          <w:color w:val="auto"/>
        </w:rPr>
        <w:t>提供水土保持监督管理技术依据和公众监督基础信息，促进项目区生态环境的有效保护和及时恢复。</w:t>
      </w:r>
    </w:p>
    <w:p>
      <w:pPr>
        <w:pStyle w:val="3"/>
        <w:bidi w:val="0"/>
        <w:rPr>
          <w:rFonts w:hint="default" w:ascii="Times New Roman" w:hAnsi="Times New Roman" w:cs="Times New Roman"/>
          <w:color w:val="auto"/>
          <w:lang w:val="en-US" w:eastAsia="zh-CN"/>
        </w:rPr>
      </w:pPr>
      <w:bookmarkStart w:id="26" w:name="_Toc32016"/>
      <w:bookmarkStart w:id="27" w:name="_Toc20054"/>
      <w:bookmarkStart w:id="28" w:name="_Toc29352"/>
      <w:r>
        <w:rPr>
          <w:rFonts w:hint="default" w:ascii="Times New Roman" w:hAnsi="Times New Roman" w:cs="Times New Roman"/>
          <w:color w:val="auto"/>
          <w:lang w:val="en-US" w:eastAsia="zh-CN"/>
        </w:rPr>
        <w:t>2.2监测范围与分区</w:t>
      </w:r>
      <w:bookmarkEnd w:id="26"/>
      <w:bookmarkEnd w:id="27"/>
      <w:bookmarkEnd w:id="2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rPr>
        <w:t>本工程水土保持监测范围为本项目水土流失防治责任范围，应包括项目永久征地、临时占地以及其他使用与管辖区域。</w:t>
      </w:r>
      <w:r>
        <w:rPr>
          <w:rFonts w:hint="default" w:ascii="Times New Roman" w:hAnsi="Times New Roman" w:cs="Times New Roman"/>
          <w:color w:val="auto"/>
          <w:lang w:val="en-US" w:eastAsia="zh-CN"/>
        </w:rPr>
        <w:t>水土保持监测区域（段）主要为：施工过程中路基挖填路段、弃渣场、取土场、施工场地、施工便道边坡等，以及施工过程中防治措施不能及时到位的施工区（段）。</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水土保持监测范围及单元划分表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监测单元</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监测范围（</w:t>
            </w:r>
            <w:r>
              <w:rPr>
                <w:rFonts w:hint="default" w:ascii="Times New Roman" w:hAnsi="Times New Roman" w:eastAsia="Times New Roman" w:cs="Times New Roman"/>
                <w:color w:val="auto"/>
                <w:sz w:val="24"/>
              </w:rPr>
              <w:t>hm</w:t>
            </w:r>
            <w:r>
              <w:rPr>
                <w:rFonts w:hint="default" w:ascii="Times New Roman" w:hAnsi="Times New Roman" w:eastAsia="Times New Roman" w:cs="Times New Roman"/>
                <w:color w:val="auto"/>
                <w:position w:val="9"/>
                <w:sz w:val="16"/>
              </w:rPr>
              <w:t>2</w:t>
            </w:r>
            <w:r>
              <w:rPr>
                <w:rFonts w:hint="default" w:ascii="Times New Roman" w:hAnsi="Times New Roman" w:cs="Times New Roman"/>
                <w:color w:val="auto"/>
                <w:vertAlign w:val="baseline"/>
                <w:lang w:val="en-US" w:eastAsia="zh-CN"/>
              </w:rPr>
              <w:t>）</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是否重点监测区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主体工程区</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3.80</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附属设施区</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1.41</w:t>
            </w:r>
          </w:p>
        </w:tc>
        <w:tc>
          <w:tcPr>
            <w:tcW w:w="2841" w:type="dxa"/>
            <w:vAlign w:val="center"/>
          </w:tcPr>
          <w:p>
            <w:pPr>
              <w:jc w:val="center"/>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弃渣回填区</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0.84</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取土场区</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2.00</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施工便道区</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0.05</w:t>
            </w:r>
          </w:p>
        </w:tc>
        <w:tc>
          <w:tcPr>
            <w:tcW w:w="2841" w:type="dxa"/>
            <w:vAlign w:val="center"/>
          </w:tcPr>
          <w:p>
            <w:pPr>
              <w:jc w:val="center"/>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施工生产生活区</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0.20</w:t>
            </w:r>
          </w:p>
        </w:tc>
        <w:tc>
          <w:tcPr>
            <w:tcW w:w="2841" w:type="dxa"/>
            <w:vAlign w:val="center"/>
          </w:tcPr>
          <w:p>
            <w:pPr>
              <w:jc w:val="center"/>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表土堆放区</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0.21</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合计</w:t>
            </w:r>
          </w:p>
        </w:tc>
        <w:tc>
          <w:tcPr>
            <w:tcW w:w="2841" w:type="dxa"/>
            <w:vAlign w:val="center"/>
          </w:tcPr>
          <w:p>
            <w:pPr>
              <w:jc w:val="center"/>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8.51</w:t>
            </w:r>
          </w:p>
        </w:tc>
        <w:tc>
          <w:tcPr>
            <w:tcW w:w="2841" w:type="dxa"/>
            <w:vAlign w:val="center"/>
          </w:tcPr>
          <w:p>
            <w:pPr>
              <w:jc w:val="center"/>
              <w:rPr>
                <w:rFonts w:hint="default" w:ascii="Times New Roman" w:hAnsi="Times New Roman" w:cs="Times New Roman"/>
                <w:color w:val="auto"/>
                <w:vertAlign w:val="baseline"/>
                <w:lang w:val="en-US" w:eastAsia="zh-CN"/>
              </w:rPr>
            </w:pPr>
          </w:p>
        </w:tc>
      </w:tr>
    </w:tbl>
    <w:p>
      <w:pPr>
        <w:pStyle w:val="3"/>
        <w:bidi w:val="0"/>
        <w:rPr>
          <w:rFonts w:hint="default" w:ascii="Times New Roman" w:hAnsi="Times New Roman" w:cs="Times New Roman"/>
          <w:color w:val="auto"/>
          <w:lang w:val="en-US" w:eastAsia="zh-CN"/>
        </w:rPr>
      </w:pPr>
      <w:bookmarkStart w:id="29" w:name="_Toc7159"/>
      <w:bookmarkStart w:id="30" w:name="_Toc13389"/>
      <w:bookmarkStart w:id="31" w:name="_Toc640"/>
      <w:r>
        <w:rPr>
          <w:rFonts w:hint="default" w:ascii="Times New Roman" w:hAnsi="Times New Roman" w:cs="Times New Roman"/>
          <w:color w:val="auto"/>
          <w:lang w:val="en-US" w:eastAsia="zh-CN"/>
        </w:rPr>
        <w:t>2.3监测重点和布局</w:t>
      </w:r>
      <w:bookmarkEnd w:id="29"/>
      <w:bookmarkEnd w:id="30"/>
      <w:bookmarkEnd w:id="31"/>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1监测重点区域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rPr>
        <w:t>根据《水保方案》中预测的水土流失重点区域结论和本工程水土流失特点和水土保持监测特点，结合工程实际情况，确定本项目施工期的水土保持监测重点区域为</w:t>
      </w:r>
      <w:r>
        <w:rPr>
          <w:rFonts w:hint="default" w:ascii="Times New Roman" w:hAnsi="Times New Roman" w:cs="Times New Roman"/>
          <w:color w:val="auto"/>
          <w:lang w:val="en-US" w:eastAsia="zh-CN"/>
        </w:rPr>
        <w:t>主体工程区、弃渣回填区、取土场区、表土堆填区。</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2监测重点对象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主体工程区在施工过程中，开挖回填扰动地表面积大，挖方也大，余方在转运过程中势必产生一定量的临时堆土，若对这些临时堆土处理不当，还会对主体工程的安全构成威胁，同时，为了减少因施工扰动而造成的水土流失，所采取临时措施的实施是重要的，因此主体工程区开挖面和各项措施是施工期的监测重点对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工程在余方在堆放过程中，塑造原有地貌，堆放量和堆放面积逐渐增加，堆土坡面松散，可能形成较陡坡面，临时堆土体极不稳定，在雨水的冲刷下容易发生水土流失，在</w:t>
      </w:r>
      <w:r>
        <w:rPr>
          <w:rFonts w:hint="default" w:ascii="Times New Roman" w:hAnsi="Times New Roman" w:cs="Times New Roman"/>
          <w:color w:val="auto"/>
          <w:lang w:val="en-US" w:eastAsia="zh-CN"/>
        </w:rPr>
        <w:t>弃渣场</w:t>
      </w:r>
      <w:r>
        <w:rPr>
          <w:rFonts w:hint="default" w:ascii="Times New Roman" w:hAnsi="Times New Roman" w:cs="Times New Roman"/>
          <w:color w:val="auto"/>
        </w:rPr>
        <w:t>区</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取土场区、表土堆放区</w:t>
      </w:r>
      <w:r>
        <w:rPr>
          <w:rFonts w:hint="default" w:ascii="Times New Roman" w:hAnsi="Times New Roman" w:cs="Times New Roman"/>
          <w:color w:val="auto"/>
        </w:rPr>
        <w:t>周围采取一定的拦挡措施和截排水措施，是非常必要的，因此施工期</w:t>
      </w:r>
      <w:r>
        <w:rPr>
          <w:rFonts w:hint="default" w:ascii="Times New Roman" w:hAnsi="Times New Roman" w:cs="Times New Roman"/>
          <w:color w:val="auto"/>
          <w:lang w:val="en-US" w:eastAsia="zh-CN"/>
        </w:rPr>
        <w:t>弃渣场</w:t>
      </w:r>
      <w:r>
        <w:rPr>
          <w:rFonts w:hint="default" w:ascii="Times New Roman" w:hAnsi="Times New Roman" w:cs="Times New Roman"/>
          <w:color w:val="auto"/>
        </w:rPr>
        <w:t>区</w:t>
      </w: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取土场区、表土堆放区</w:t>
      </w:r>
      <w:r>
        <w:rPr>
          <w:rFonts w:hint="default" w:ascii="Times New Roman" w:hAnsi="Times New Roman" w:cs="Times New Roman"/>
          <w:color w:val="auto"/>
        </w:rPr>
        <w:t>的监测重点对象为堆土坡面、临时拦挡及覆盖措施。</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lang w:val="en-US" w:eastAsia="zh-CN"/>
        </w:rPr>
        <w:t>工程重点</w:t>
      </w:r>
      <w:r>
        <w:rPr>
          <w:rFonts w:hint="default" w:ascii="Times New Roman" w:hAnsi="Times New Roman" w:cs="Times New Roman"/>
          <w:color w:val="auto"/>
          <w:sz w:val="24"/>
          <w:szCs w:val="24"/>
          <w:lang w:val="en-US" w:eastAsia="zh-CN"/>
        </w:rPr>
        <w:t>监测区域及重点监测表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261"/>
        <w:gridCol w:w="426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重点监测区域</w:t>
            </w:r>
          </w:p>
        </w:tc>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重点监测对象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主体工程区</w:t>
            </w:r>
          </w:p>
        </w:tc>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开挖边坡及水保措施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弃渣回填区</w:t>
            </w:r>
          </w:p>
        </w:tc>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临时拦挡、覆盖措施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取土场区</w:t>
            </w:r>
          </w:p>
        </w:tc>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临时拦挡、覆盖措施</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表土堆放区</w:t>
            </w:r>
          </w:p>
        </w:tc>
        <w:tc>
          <w:tcPr>
            <w:tcW w:w="426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szCs w:val="24"/>
                <w:vertAlign w:val="baseline"/>
                <w:lang w:val="en-US" w:eastAsia="zh-CN"/>
              </w:rPr>
            </w:pPr>
            <w:r>
              <w:rPr>
                <w:rFonts w:hint="default" w:ascii="Times New Roman" w:hAnsi="Times New Roman" w:cs="Times New Roman"/>
                <w:color w:val="auto"/>
                <w:sz w:val="24"/>
                <w:szCs w:val="24"/>
                <w:vertAlign w:val="baseline"/>
                <w:lang w:val="en-US" w:eastAsia="zh-CN"/>
              </w:rPr>
              <w:t>临时拦挡、覆盖措施</w:t>
            </w:r>
          </w:p>
        </w:tc>
      </w:tr>
    </w:tbl>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color w:val="auto"/>
          <w:sz w:val="24"/>
          <w:szCs w:val="24"/>
          <w:lang w:val="en-US" w:eastAsia="zh-CN"/>
        </w:rPr>
      </w:pPr>
      <w:r>
        <w:rPr>
          <w:rFonts w:hint="default" w:ascii="Times New Roman" w:hAnsi="Times New Roman" w:cs="Times New Roman"/>
          <w:color w:val="auto"/>
          <w:sz w:val="24"/>
          <w:szCs w:val="24"/>
          <w:lang w:val="en-US" w:eastAsia="zh-CN"/>
        </w:rPr>
        <w:t>3监测点位</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水土保持监测站点的布设根据上述原则及考虑造本工程建设项目工程特点、扰动地表面积和特征、涉及的水土流失不同类型、扰动开挖和堆积形态、植被状况、水土保持设施及其布局，以及交通、通信等条件综合确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在上述定点监测的基础上，应制定和完善调查和巡查制度，扩大监测覆盖面， 并作为上述监测点的补充，特别是降暴雨时，加大巡查频率。</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本项目水土流失监测点位详图</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840"/>
        <w:gridCol w:w="2841"/>
        <w:gridCol w:w="284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监测方法</w:t>
            </w:r>
          </w:p>
        </w:tc>
        <w:tc>
          <w:tcPr>
            <w:tcW w:w="284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布置位置</w:t>
            </w:r>
          </w:p>
        </w:tc>
        <w:tc>
          <w:tcPr>
            <w:tcW w:w="284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沉砂池法（2处）</w:t>
            </w:r>
          </w:p>
        </w:tc>
        <w:tc>
          <w:tcPr>
            <w:tcW w:w="284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主体工程区</w:t>
            </w:r>
          </w:p>
        </w:tc>
        <w:tc>
          <w:tcPr>
            <w:tcW w:w="284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p>
        </w:tc>
        <w:tc>
          <w:tcPr>
            <w:tcW w:w="284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管线工程区</w:t>
            </w:r>
          </w:p>
        </w:tc>
        <w:tc>
          <w:tcPr>
            <w:tcW w:w="284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简易坡面量测法（2处）</w:t>
            </w:r>
          </w:p>
        </w:tc>
        <w:tc>
          <w:tcPr>
            <w:tcW w:w="284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取土场区</w:t>
            </w:r>
          </w:p>
        </w:tc>
        <w:tc>
          <w:tcPr>
            <w:tcW w:w="284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p>
        </w:tc>
        <w:tc>
          <w:tcPr>
            <w:tcW w:w="284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弃渣场区</w:t>
            </w:r>
          </w:p>
        </w:tc>
        <w:tc>
          <w:tcPr>
            <w:tcW w:w="284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8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观测桩法（1处）</w:t>
            </w:r>
          </w:p>
        </w:tc>
        <w:tc>
          <w:tcPr>
            <w:tcW w:w="284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r>
              <w:rPr>
                <w:rFonts w:hint="default" w:ascii="Times New Roman" w:hAnsi="Times New Roman" w:cs="Times New Roman"/>
                <w:color w:val="auto"/>
                <w:vertAlign w:val="baseline"/>
                <w:lang w:val="en-US" w:eastAsia="zh-CN"/>
              </w:rPr>
              <w:t>管线工程区</w:t>
            </w:r>
          </w:p>
        </w:tc>
        <w:tc>
          <w:tcPr>
            <w:tcW w:w="284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在上述定点监测的基础上，应制定和完善调查和巡查制度，扩大监测覆盖面， 并作为上述监测点的补充，加大巡查频率。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调查监测点布置：布设在整个项目区的典型水土保持工程措施防治段。</w:t>
      </w:r>
    </w:p>
    <w:p>
      <w:pPr>
        <w:pStyle w:val="3"/>
        <w:bidi w:val="0"/>
        <w:rPr>
          <w:rFonts w:hint="default" w:ascii="Times New Roman" w:hAnsi="Times New Roman" w:cs="Times New Roman"/>
          <w:color w:val="auto"/>
          <w:lang w:val="en-US" w:eastAsia="zh-CN"/>
        </w:rPr>
      </w:pPr>
      <w:bookmarkStart w:id="32" w:name="_Toc10296"/>
      <w:bookmarkStart w:id="33" w:name="_Toc27178"/>
      <w:bookmarkStart w:id="34" w:name="_Toc15841"/>
      <w:r>
        <w:rPr>
          <w:rFonts w:hint="default" w:ascii="Times New Roman" w:hAnsi="Times New Roman" w:cs="Times New Roman"/>
          <w:color w:val="auto"/>
          <w:lang w:val="en-US" w:eastAsia="zh-CN"/>
        </w:rPr>
        <w:t>2.4监测时段和工作进度</w:t>
      </w:r>
      <w:bookmarkEnd w:id="32"/>
      <w:bookmarkEnd w:id="33"/>
      <w:bookmarkEnd w:id="3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该工程为建设性项目，监测时段可分为施工准备期、施工期和林草恢复期。林草恢复期为 1 年，监测方案监测期</w:t>
      </w:r>
      <w:r>
        <w:rPr>
          <w:rFonts w:hint="default" w:ascii="Times New Roman" w:hAnsi="Times New Roman" w:cs="Times New Roman"/>
          <w:color w:val="auto"/>
          <w:lang w:val="en-US" w:eastAsia="zh-CN"/>
        </w:rPr>
        <w:t>2年</w:t>
      </w:r>
      <w:r>
        <w:rPr>
          <w:rFonts w:hint="default" w:ascii="Times New Roman" w:hAnsi="Times New Roman" w:cs="Times New Roman"/>
          <w:color w:val="auto"/>
        </w:rPr>
        <w:t>（从主体工程动工开始计算，含运行期监测 1 年），对主体工程土建施工、基础处理及施工时序，重点监测其水土保持措施落实情况。林草恢复期，重点进行植物措施监测、各种面积核实监测等。按照拟定的工作计划开展项目的调查、巡查和遥感监测，选定典型地块设立水土流失观测场，对工程建设的水土流失情况、水土保持措施实施情况、水土流失危害及水土保持措施的拦渣保土效益进行长期定位观测，及时掌握工程建设过程中水土流失及其防治的动态变化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水土流失监测进场后先对整个工程施工的工程进度及水土流失现状进行全面分析，当季度开始 7 天内向甲方提交上一季度的水土保持监测报告，并报送相关水行政主管部门备案（由甲方报送）。工程施工完毕后编制水土保持监测总结报告。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本工程水土保持监测期</w:t>
      </w:r>
      <w:r>
        <w:rPr>
          <w:rFonts w:hint="default" w:ascii="Times New Roman" w:hAnsi="Times New Roman" w:cs="Times New Roman"/>
          <w:color w:val="auto"/>
          <w:lang w:val="en-US" w:eastAsia="zh-CN"/>
        </w:rPr>
        <w:t>2年</w:t>
      </w:r>
      <w:r>
        <w:rPr>
          <w:rFonts w:hint="default" w:ascii="Times New Roman" w:hAnsi="Times New Roman" w:cs="Times New Roman"/>
          <w:color w:val="auto"/>
        </w:rPr>
        <w:t>，水土保持监测工作进度总计划见表 ，具体实际监测进度需要根据施工期主体工程进展情况进行相应调整。</w:t>
      </w:r>
    </w:p>
    <w:p>
      <w:pPr>
        <w:spacing w:before="1" w:after="2"/>
        <w:ind w:left="2866" w:right="0" w:firstLine="0"/>
        <w:jc w:val="both"/>
        <w:rPr>
          <w:rFonts w:hint="default" w:ascii="Times New Roman" w:hAnsi="Times New Roman" w:cs="Times New Roman"/>
          <w:color w:val="auto"/>
          <w:sz w:val="24"/>
        </w:rPr>
      </w:pPr>
    </w:p>
    <w:p>
      <w:pPr>
        <w:spacing w:before="1" w:after="2"/>
        <w:ind w:left="2866" w:right="0" w:firstLine="0"/>
        <w:jc w:val="both"/>
        <w:rPr>
          <w:rFonts w:hint="default" w:ascii="Times New Roman" w:hAnsi="Times New Roman" w:cs="Times New Roman"/>
          <w:color w:val="auto"/>
          <w:sz w:val="24"/>
        </w:rPr>
      </w:pPr>
    </w:p>
    <w:p>
      <w:pPr>
        <w:spacing w:before="1" w:after="2"/>
        <w:ind w:left="2866" w:right="0" w:firstLine="0"/>
        <w:jc w:val="both"/>
        <w:rPr>
          <w:rFonts w:hint="default" w:ascii="Times New Roman" w:hAnsi="Times New Roman" w:cs="Times New Roman"/>
          <w:color w:val="auto"/>
          <w:sz w:val="24"/>
        </w:rPr>
      </w:pPr>
      <w:r>
        <w:rPr>
          <w:rFonts w:hint="default" w:ascii="Times New Roman" w:hAnsi="Times New Roman" w:cs="Times New Roman"/>
          <w:color w:val="auto"/>
          <w:sz w:val="24"/>
        </w:rPr>
        <w:t>监测工作进度总计划</w:t>
      </w:r>
    </w:p>
    <w:tbl>
      <w:tblPr>
        <w:tblStyle w:val="19"/>
        <w:tblW w:w="0" w:type="auto"/>
        <w:tblInd w:w="31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456"/>
        <w:gridCol w:w="2549"/>
        <w:gridCol w:w="555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456" w:type="dxa"/>
          </w:tcPr>
          <w:p>
            <w:pPr>
              <w:pStyle w:val="24"/>
              <w:spacing w:line="307" w:lineRule="exact"/>
              <w:ind w:left="105"/>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序</w:t>
            </w:r>
          </w:p>
          <w:p>
            <w:pPr>
              <w:pStyle w:val="24"/>
              <w:spacing w:before="4" w:line="289" w:lineRule="exact"/>
              <w:ind w:left="105"/>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号</w:t>
            </w:r>
          </w:p>
        </w:tc>
        <w:tc>
          <w:tcPr>
            <w:tcW w:w="2549" w:type="dxa"/>
          </w:tcPr>
          <w:p>
            <w:pPr>
              <w:pStyle w:val="24"/>
              <w:spacing w:before="155"/>
              <w:ind w:right="789"/>
              <w:jc w:val="right"/>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工作时段</w:t>
            </w:r>
          </w:p>
        </w:tc>
        <w:tc>
          <w:tcPr>
            <w:tcW w:w="5556" w:type="dxa"/>
          </w:tcPr>
          <w:p>
            <w:pPr>
              <w:pStyle w:val="24"/>
              <w:spacing w:before="155"/>
              <w:ind w:left="2153" w:right="2153"/>
              <w:jc w:val="center"/>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内容及目标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456" w:type="dxa"/>
          </w:tcPr>
          <w:p>
            <w:pPr>
              <w:pStyle w:val="24"/>
              <w:spacing w:before="171"/>
              <w:ind w:left="165"/>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1</w:t>
            </w:r>
          </w:p>
        </w:tc>
        <w:tc>
          <w:tcPr>
            <w:tcW w:w="2549" w:type="dxa"/>
          </w:tcPr>
          <w:p>
            <w:pPr>
              <w:pStyle w:val="24"/>
              <w:spacing w:before="158"/>
              <w:ind w:left="-3" w:right="859"/>
              <w:jc w:val="right"/>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pacing w:val="-13"/>
                <w:sz w:val="24"/>
                <w:szCs w:val="24"/>
              </w:rPr>
              <w:t xml:space="preserve">签订合同 </w:t>
            </w:r>
            <w:r>
              <w:rPr>
                <w:rFonts w:hint="default" w:ascii="Times New Roman" w:hAnsi="Times New Roman" w:eastAsia="仿宋" w:cs="Times New Roman"/>
                <w:color w:val="auto"/>
                <w:sz w:val="24"/>
                <w:szCs w:val="24"/>
              </w:rPr>
              <w:t xml:space="preserve">7 </w:t>
            </w:r>
            <w:r>
              <w:rPr>
                <w:rFonts w:hint="default" w:ascii="Times New Roman" w:hAnsi="Times New Roman" w:eastAsia="仿宋" w:cs="Times New Roman"/>
                <w:color w:val="auto"/>
                <w:spacing w:val="-8"/>
                <w:sz w:val="24"/>
                <w:szCs w:val="24"/>
              </w:rPr>
              <w:t>日内</w:t>
            </w:r>
          </w:p>
        </w:tc>
        <w:tc>
          <w:tcPr>
            <w:tcW w:w="5556" w:type="dxa"/>
          </w:tcPr>
          <w:p>
            <w:pPr>
              <w:pStyle w:val="24"/>
              <w:spacing w:before="2"/>
              <w:ind w:left="-1"/>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完成本项目水土保持监测实施方案编写，报送业主，</w:t>
            </w:r>
          </w:p>
          <w:p>
            <w:pPr>
              <w:pStyle w:val="24"/>
              <w:spacing w:before="4" w:line="289" w:lineRule="exact"/>
              <w:ind w:left="-1"/>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按实施方案开展现场监测工作。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1" w:hRule="atLeast"/>
        </w:trPr>
        <w:tc>
          <w:tcPr>
            <w:tcW w:w="456" w:type="dxa"/>
          </w:tcPr>
          <w:p>
            <w:pPr>
              <w:pStyle w:val="24"/>
              <w:spacing w:before="171"/>
              <w:ind w:left="165"/>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2</w:t>
            </w:r>
          </w:p>
        </w:tc>
        <w:tc>
          <w:tcPr>
            <w:tcW w:w="2549" w:type="dxa"/>
          </w:tcPr>
          <w:p>
            <w:pPr>
              <w:pStyle w:val="24"/>
              <w:spacing w:line="307" w:lineRule="exact"/>
              <w:ind w:left="-3"/>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掌握现场情况后，15 日</w:t>
            </w:r>
          </w:p>
          <w:p>
            <w:pPr>
              <w:pStyle w:val="24"/>
              <w:spacing w:before="4" w:line="289" w:lineRule="exact"/>
              <w:ind w:left="-3"/>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内</w:t>
            </w:r>
          </w:p>
        </w:tc>
        <w:tc>
          <w:tcPr>
            <w:tcW w:w="5556" w:type="dxa"/>
          </w:tcPr>
          <w:p>
            <w:pPr>
              <w:pStyle w:val="24"/>
              <w:spacing w:line="307" w:lineRule="exact"/>
              <w:ind w:left="-1"/>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进行现场查勘，收集有关资料，预定开工前对项目区</w:t>
            </w:r>
          </w:p>
          <w:p>
            <w:pPr>
              <w:pStyle w:val="24"/>
              <w:spacing w:before="4" w:line="289" w:lineRule="exact"/>
              <w:ind w:left="-1"/>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域进行遥感</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456" w:type="dxa"/>
          </w:tcPr>
          <w:p>
            <w:pPr>
              <w:pStyle w:val="24"/>
              <w:spacing w:before="7"/>
              <w:rPr>
                <w:rFonts w:hint="default" w:ascii="Times New Roman" w:hAnsi="Times New Roman" w:eastAsia="仿宋" w:cs="Times New Roman"/>
                <w:color w:val="auto"/>
                <w:sz w:val="24"/>
                <w:szCs w:val="24"/>
              </w:rPr>
            </w:pPr>
          </w:p>
          <w:p>
            <w:pPr>
              <w:pStyle w:val="24"/>
              <w:ind w:left="165"/>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3</w:t>
            </w:r>
          </w:p>
        </w:tc>
        <w:tc>
          <w:tcPr>
            <w:tcW w:w="2549" w:type="dxa"/>
          </w:tcPr>
          <w:p>
            <w:pPr>
              <w:pStyle w:val="24"/>
              <w:spacing w:before="158"/>
              <w:ind w:left="-3"/>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建设期年报，每个季度</w:t>
            </w:r>
          </w:p>
          <w:p>
            <w:pPr>
              <w:pStyle w:val="24"/>
              <w:spacing w:before="4"/>
              <w:ind w:left="-3"/>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1-2 次监测</w:t>
            </w:r>
          </w:p>
        </w:tc>
        <w:tc>
          <w:tcPr>
            <w:tcW w:w="5556" w:type="dxa"/>
          </w:tcPr>
          <w:p>
            <w:pPr>
              <w:pStyle w:val="24"/>
              <w:spacing w:before="2"/>
              <w:ind w:left="-1"/>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监测扰动面积、水土流失量、水土保持措施实施及其</w:t>
            </w:r>
          </w:p>
          <w:p>
            <w:pPr>
              <w:pStyle w:val="24"/>
              <w:spacing w:before="2" w:line="310" w:lineRule="atLeast"/>
              <w:ind w:left="-1"/>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pacing w:val="-14"/>
                <w:sz w:val="24"/>
                <w:szCs w:val="24"/>
              </w:rPr>
              <w:t xml:space="preserve">防治情况、水土流失危害等。每个季度的前 </w:t>
            </w:r>
            <w:r>
              <w:rPr>
                <w:rFonts w:hint="default" w:ascii="Times New Roman" w:hAnsi="Times New Roman" w:eastAsia="仿宋" w:cs="Times New Roman"/>
                <w:color w:val="auto"/>
                <w:sz w:val="24"/>
                <w:szCs w:val="24"/>
              </w:rPr>
              <w:t xml:space="preserve">20 </w:t>
            </w:r>
            <w:r>
              <w:rPr>
                <w:rFonts w:hint="default" w:ascii="Times New Roman" w:hAnsi="Times New Roman" w:eastAsia="仿宋" w:cs="Times New Roman"/>
                <w:color w:val="auto"/>
                <w:spacing w:val="-6"/>
                <w:sz w:val="24"/>
                <w:szCs w:val="24"/>
              </w:rPr>
              <w:t>日内提</w:t>
            </w:r>
            <w:r>
              <w:rPr>
                <w:rFonts w:hint="default" w:ascii="Times New Roman" w:hAnsi="Times New Roman" w:eastAsia="仿宋" w:cs="Times New Roman"/>
                <w:color w:val="auto"/>
                <w:sz w:val="24"/>
                <w:szCs w:val="24"/>
              </w:rPr>
              <w:t>交上季度水土保持监测季度报告。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456" w:type="dxa"/>
          </w:tcPr>
          <w:p>
            <w:pPr>
              <w:pStyle w:val="24"/>
              <w:spacing w:before="174"/>
              <w:ind w:left="165"/>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4</w:t>
            </w:r>
          </w:p>
        </w:tc>
        <w:tc>
          <w:tcPr>
            <w:tcW w:w="2549" w:type="dxa"/>
          </w:tcPr>
          <w:p>
            <w:pPr>
              <w:pStyle w:val="24"/>
              <w:spacing w:before="158"/>
              <w:ind w:left="-3" w:right="859"/>
              <w:jc w:val="right"/>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pacing w:val="-3"/>
                <w:sz w:val="24"/>
                <w:szCs w:val="24"/>
              </w:rPr>
              <w:t>主体工程完工后</w:t>
            </w:r>
          </w:p>
        </w:tc>
        <w:tc>
          <w:tcPr>
            <w:tcW w:w="5556" w:type="dxa"/>
          </w:tcPr>
          <w:p>
            <w:pPr>
              <w:pStyle w:val="24"/>
              <w:spacing w:before="2" w:line="310" w:lineRule="atLeast"/>
              <w:ind w:left="-1"/>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pacing w:val="-5"/>
                <w:sz w:val="24"/>
                <w:szCs w:val="24"/>
              </w:rPr>
              <w:t xml:space="preserve">水土保持设施竣工验收前 </w:t>
            </w:r>
            <w:r>
              <w:rPr>
                <w:rFonts w:hint="default" w:ascii="Times New Roman" w:hAnsi="Times New Roman" w:eastAsia="仿宋" w:cs="Times New Roman"/>
                <w:color w:val="auto"/>
                <w:sz w:val="24"/>
                <w:szCs w:val="24"/>
              </w:rPr>
              <w:t>1 个月内完成本项目水土保</w:t>
            </w:r>
          </w:p>
          <w:p>
            <w:pPr>
              <w:pStyle w:val="24"/>
              <w:spacing w:before="2" w:line="310" w:lineRule="atLeast"/>
              <w:ind w:left="-1"/>
              <w:rPr>
                <w:rFonts w:hint="default" w:ascii="Times New Roman" w:hAnsi="Times New Roman" w:eastAsia="仿宋" w:cs="Times New Roman"/>
                <w:color w:val="auto"/>
                <w:sz w:val="24"/>
                <w:szCs w:val="24"/>
              </w:rPr>
            </w:pPr>
            <w:r>
              <w:rPr>
                <w:rFonts w:hint="default" w:ascii="Times New Roman" w:hAnsi="Times New Roman" w:eastAsia="仿宋" w:cs="Times New Roman"/>
                <w:color w:val="auto"/>
                <w:sz w:val="24"/>
                <w:szCs w:val="24"/>
              </w:rPr>
              <w:t>持监测总报告书编写工作。</w:t>
            </w:r>
          </w:p>
        </w:tc>
      </w:tr>
    </w:tbl>
    <w:p>
      <w:pPr>
        <w:pStyle w:val="2"/>
        <w:bidi w:val="0"/>
        <w:spacing w:line="240" w:lineRule="auto"/>
        <w:outlineLvl w:val="9"/>
        <w:rPr>
          <w:rFonts w:hint="default" w:ascii="Times New Roman" w:hAnsi="Times New Roman" w:cs="Times New Roman"/>
          <w:color w:val="auto"/>
          <w:lang w:val="en-US" w:eastAsia="zh-CN"/>
        </w:rPr>
        <w:sectPr>
          <w:headerReference r:id="rId8" w:type="default"/>
          <w:pgSz w:w="11910" w:h="16840"/>
          <w:pgMar w:top="1440" w:right="1440" w:bottom="1440" w:left="1440" w:header="888" w:footer="994" w:gutter="0"/>
          <w:pgNumType w:fmt="decimal"/>
          <w:cols w:space="720" w:num="1"/>
        </w:sectPr>
      </w:pPr>
      <w:bookmarkStart w:id="35" w:name="_Toc30219"/>
    </w:p>
    <w:p>
      <w:pPr>
        <w:pStyle w:val="2"/>
        <w:bidi w:val="0"/>
        <w:spacing w:line="240" w:lineRule="auto"/>
        <w:rPr>
          <w:rFonts w:hint="default" w:ascii="Times New Roman" w:hAnsi="Times New Roman" w:cs="Times New Roman"/>
          <w:color w:val="auto"/>
          <w:lang w:val="en-US" w:eastAsia="zh-CN"/>
        </w:rPr>
      </w:pPr>
      <w:bookmarkStart w:id="36" w:name="_Toc17979"/>
      <w:bookmarkStart w:id="37" w:name="_Toc24110"/>
      <w:r>
        <w:rPr>
          <w:rFonts w:hint="default" w:ascii="Times New Roman" w:hAnsi="Times New Roman" w:cs="Times New Roman"/>
          <w:color w:val="auto"/>
          <w:lang w:val="en-US" w:eastAsia="zh-CN"/>
        </w:rPr>
        <w:t>3、监测内容与方法</w:t>
      </w:r>
      <w:bookmarkEnd w:id="35"/>
      <w:bookmarkEnd w:id="36"/>
      <w:bookmarkEnd w:id="3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生产建设项目水土保持监测是根据批准的水土保持方案确定的监测内容，通过设立典型观测断面、观测点等，对生产建设项目在生产建设和运行初期的水土流失及其防治效果进行的监测，根据生产建设项目水土保持监测规程（试行），本工程水土流失监测主要包括以下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w:t>
      </w:r>
      <w:r>
        <w:rPr>
          <w:rFonts w:hint="default" w:ascii="Times New Roman" w:hAnsi="Times New Roman" w:cs="Times New Roman"/>
          <w:color w:val="auto"/>
        </w:rPr>
        <w:t>扰动土地情况，临时堆放场的数量、位置、方量，表土剥离，防治措施落实情况等。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rPr>
        <w:t>水土流失情况：土壤流失面积、土壤流失量、取土（石、料）弃土（石、渣）潜在土壤流失量和水土流失危害等内容，其中：a） 土壤流失量是指输出项目建设区的土、石、沙数量；b） 取土（石、料）弃土（石、渣）潜在土壤流失量是指项目建设区内未实施防护措施，或者未按水土保持方案实施且未履行变更手续的取土（石、料）弃土（石、渣）数量；c） 水土流失危害是指项目建设引起的基础设施和民用设施的损毁，水库淤积、河道阻塞、滑坡、泥石流等危害。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3</w:t>
      </w:r>
      <w:r>
        <w:rPr>
          <w:rFonts w:hint="default" w:ascii="Times New Roman" w:hAnsi="Times New Roman" w:cs="Times New Roman"/>
          <w:color w:val="auto"/>
          <w:lang w:eastAsia="zh-CN"/>
        </w:rPr>
        <w:t>）</w:t>
      </w:r>
      <w:r>
        <w:rPr>
          <w:rFonts w:hint="default" w:ascii="Times New Roman" w:hAnsi="Times New Roman" w:cs="Times New Roman"/>
          <w:color w:val="auto"/>
        </w:rPr>
        <w:t>水土保持措施：措施类型、开（完）工日期、位置、规格、尺寸、数量、林草覆盖度（郁闭度）、防治效果、运行状况等。</w:t>
      </w:r>
    </w:p>
    <w:p>
      <w:pPr>
        <w:pStyle w:val="3"/>
        <w:bidi w:val="0"/>
        <w:rPr>
          <w:rFonts w:hint="default" w:ascii="Times New Roman" w:hAnsi="Times New Roman" w:cs="Times New Roman"/>
          <w:color w:val="auto"/>
          <w:lang w:val="en-US" w:eastAsia="zh-CN"/>
        </w:rPr>
      </w:pPr>
      <w:bookmarkStart w:id="38" w:name="_Toc3179"/>
      <w:bookmarkStart w:id="39" w:name="_Toc18797"/>
      <w:bookmarkStart w:id="40" w:name="_Toc32075"/>
      <w:r>
        <w:rPr>
          <w:rFonts w:hint="default" w:ascii="Times New Roman" w:hAnsi="Times New Roman" w:cs="Times New Roman"/>
          <w:color w:val="auto"/>
          <w:lang w:val="en-US" w:eastAsia="zh-CN"/>
        </w:rPr>
        <w:t>3.1施工准备期</w:t>
      </w:r>
      <w:bookmarkEnd w:id="38"/>
      <w:bookmarkEnd w:id="39"/>
      <w:bookmarkEnd w:id="4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施工准备期前，对本工程的本底值采用调查监测，地形地貌、植被状况等采用实地调查的方法进行监测。项目扰动情况采用实地调查并结合查阅资料的方法进行监测。</w:t>
      </w:r>
    </w:p>
    <w:p>
      <w:pPr>
        <w:pStyle w:val="3"/>
        <w:bidi w:val="0"/>
        <w:rPr>
          <w:rFonts w:hint="default" w:ascii="Times New Roman" w:hAnsi="Times New Roman" w:cs="Times New Roman"/>
          <w:color w:val="auto"/>
          <w:lang w:val="en-US" w:eastAsia="zh-CN"/>
        </w:rPr>
      </w:pPr>
      <w:bookmarkStart w:id="41" w:name="_Toc11240"/>
      <w:bookmarkStart w:id="42" w:name="_Toc249"/>
      <w:bookmarkStart w:id="43" w:name="_Toc22657"/>
      <w:r>
        <w:rPr>
          <w:rFonts w:hint="default" w:ascii="Times New Roman" w:hAnsi="Times New Roman" w:cs="Times New Roman"/>
          <w:color w:val="auto"/>
          <w:lang w:val="en-US" w:eastAsia="zh-CN"/>
        </w:rPr>
        <w:t>3.2工程建设期</w:t>
      </w:r>
      <w:bookmarkEnd w:id="41"/>
      <w:bookmarkEnd w:id="42"/>
      <w:bookmarkEnd w:id="4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本工程建设期监测内容包括扰动土地情况、临时堆土情况、水土流失情况、水土流失隐患与危害、水土保持措施等内容监测。</w:t>
      </w:r>
    </w:p>
    <w:p>
      <w:pPr>
        <w:bidi w:val="0"/>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3.2.1监测方法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开发建设项目水土流失监测，主要采用调查监测法和定位观测法。在防治责任区范围内，定期采用全面调查的方式进行调查监测；水土流失影响较大的区域， 应进行定位观测。通过两种方法结合，来分析工程施工所带来的水土流失动向， 以便及时采取应对措施。</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3.2.2调查法监测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调查法监测是指定期采取全面调查的方式，通过现场实地勘测，采用GPS定位仪结合地形图、照相机、标杆、尺子等工具，对水土流失因子及水土流失危害、扰动地表范围等各类面积、临时堆土、防治措施实施数量及效果等的监测。</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t>3.2.3地面观测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对项目区内重点监测区域，采用沉沙池法进行监测。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eastAsia="zh-CN"/>
        </w:rPr>
      </w:pPr>
      <w:r>
        <w:rPr>
          <w:rFonts w:hint="default" w:ascii="Times New Roman" w:hAnsi="Times New Roman" w:cs="Times New Roman"/>
          <w:color w:val="auto"/>
        </w:rPr>
        <w:t>利用现场施工布设的汇流出口处的沉沙池观测相应汇流区的水土流失量。观测每次降雨产生的池内泥沙淤积量，并通过计算排水沟的推移质量和沉沙池出口流失的悬移质量，最终确定本次降雨该汇流区域产生的水土流失量，流失量等于上述三项之和。沉沙池法需观测沉沙池出口径流流速、悬移质含量。沉沙池法观测数据记录表格见表</w:t>
      </w:r>
      <w:r>
        <w:rPr>
          <w:rFonts w:hint="default" w:ascii="Times New Roman" w:hAnsi="Times New Roman" w:cs="Times New Roman"/>
          <w:color w:val="auto"/>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4"/>
        </w:rPr>
      </w:pPr>
      <w:r>
        <w:rPr>
          <w:rFonts w:hint="default" w:ascii="Times New Roman" w:hAnsi="Times New Roman" w:cs="Times New Roman"/>
          <w:color w:val="auto"/>
          <w:sz w:val="24"/>
        </w:rPr>
        <w:t>沉沙池法观测数据记录表</w:t>
      </w:r>
    </w:p>
    <w:tbl>
      <w:tblPr>
        <w:tblStyle w:val="19"/>
        <w:tblW w:w="0" w:type="auto"/>
        <w:jc w:val="center"/>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1279"/>
        <w:gridCol w:w="1027"/>
        <w:gridCol w:w="825"/>
        <w:gridCol w:w="825"/>
        <w:gridCol w:w="902"/>
        <w:gridCol w:w="1039"/>
        <w:gridCol w:w="624"/>
        <w:gridCol w:w="521"/>
        <w:gridCol w:w="951"/>
        <w:gridCol w:w="725"/>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jc w:val="center"/>
        </w:trPr>
        <w:tc>
          <w:tcPr>
            <w:tcW w:w="1279" w:type="dxa"/>
            <w:vMerge w:val="restart"/>
          </w:tcPr>
          <w:p>
            <w:pPr>
              <w:pStyle w:val="24"/>
              <w:rPr>
                <w:rFonts w:hint="default" w:ascii="Times New Roman" w:hAnsi="Times New Roman" w:cs="Times New Roman"/>
                <w:color w:val="auto"/>
                <w:sz w:val="24"/>
              </w:rPr>
            </w:pPr>
          </w:p>
          <w:p>
            <w:pPr>
              <w:pStyle w:val="24"/>
              <w:spacing w:before="11"/>
              <w:rPr>
                <w:rFonts w:hint="default" w:ascii="Times New Roman" w:hAnsi="Times New Roman" w:cs="Times New Roman"/>
                <w:color w:val="auto"/>
                <w:sz w:val="35"/>
              </w:rPr>
            </w:pPr>
          </w:p>
          <w:p>
            <w:pPr>
              <w:pStyle w:val="24"/>
              <w:spacing w:before="1" w:line="242" w:lineRule="auto"/>
              <w:ind w:left="158" w:right="153"/>
              <w:rPr>
                <w:rFonts w:hint="default" w:ascii="Times New Roman" w:hAnsi="Times New Roman" w:cs="Times New Roman"/>
                <w:color w:val="auto"/>
                <w:sz w:val="24"/>
              </w:rPr>
            </w:pPr>
            <w:r>
              <w:rPr>
                <w:rFonts w:hint="default" w:ascii="Times New Roman" w:hAnsi="Times New Roman" w:eastAsia="仿宋" w:cs="Times New Roman"/>
                <w:color w:val="auto"/>
                <w:sz w:val="24"/>
              </w:rPr>
              <w:t>侵蚀单元类型编号</w:t>
            </w:r>
          </w:p>
        </w:tc>
        <w:tc>
          <w:tcPr>
            <w:tcW w:w="7439" w:type="dxa"/>
            <w:gridSpan w:val="9"/>
          </w:tcPr>
          <w:p>
            <w:pPr>
              <w:pStyle w:val="24"/>
              <w:spacing w:before="2" w:line="289" w:lineRule="exact"/>
              <w:ind w:right="3035"/>
              <w:jc w:val="center"/>
              <w:rPr>
                <w:rFonts w:hint="default" w:ascii="Times New Roman" w:hAnsi="Times New Roman" w:cs="Times New Roman"/>
                <w:color w:val="auto"/>
                <w:sz w:val="24"/>
              </w:rPr>
            </w:pPr>
            <w:r>
              <w:rPr>
                <w:rFonts w:hint="default" w:ascii="Times New Roman" w:hAnsi="Times New Roman" w:cs="Times New Roman"/>
                <w:color w:val="auto"/>
                <w:sz w:val="24"/>
                <w:lang w:val="en-US" w:eastAsia="zh-CN"/>
              </w:rPr>
              <w:t xml:space="preserve">             </w:t>
            </w:r>
            <w:r>
              <w:rPr>
                <w:rFonts w:hint="default" w:ascii="Times New Roman" w:hAnsi="Times New Roman" w:eastAsia="Times New Roman" w:cs="Times New Roman"/>
                <w:color w:val="auto"/>
                <w:sz w:val="24"/>
              </w:rPr>
              <w:t>201</w:t>
            </w:r>
            <w:r>
              <w:rPr>
                <w:rFonts w:hint="default" w:ascii="Times New Roman" w:hAnsi="Times New Roman" w:cs="Times New Roman"/>
                <w:color w:val="auto"/>
                <w:sz w:val="24"/>
                <w:lang w:val="en-US" w:eastAsia="zh-CN"/>
              </w:rPr>
              <w:t>6</w:t>
            </w:r>
            <w:r>
              <w:rPr>
                <w:rFonts w:hint="default" w:ascii="Times New Roman" w:hAnsi="Times New Roman" w:eastAsia="Times New Roman" w:cs="Times New Roman"/>
                <w:color w:val="auto"/>
                <w:sz w:val="24"/>
              </w:rPr>
              <w:t xml:space="preserve"> </w:t>
            </w:r>
            <w:r>
              <w:rPr>
                <w:rFonts w:hint="default" w:ascii="Times New Roman" w:hAnsi="Times New Roman" w:cs="Times New Roman"/>
                <w:color w:val="auto"/>
                <w:sz w:val="24"/>
              </w:rPr>
              <w:t xml:space="preserve">年 </w:t>
            </w:r>
            <w:r>
              <w:rPr>
                <w:rFonts w:hint="default" w:ascii="Times New Roman" w:hAnsi="Times New Roman" w:cs="Times New Roman"/>
                <w:color w:val="auto"/>
                <w:sz w:val="24"/>
                <w:lang w:val="en-US" w:eastAsia="zh-CN"/>
              </w:rPr>
              <w:t>10</w:t>
            </w:r>
            <w:r>
              <w:rPr>
                <w:rFonts w:hint="default" w:ascii="Times New Roman" w:hAnsi="Times New Roman" w:cs="Times New Roman"/>
                <w:color w:val="auto"/>
                <w:sz w:val="24"/>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11" w:hRule="atLeast"/>
          <w:jc w:val="center"/>
        </w:trPr>
        <w:tc>
          <w:tcPr>
            <w:tcW w:w="1279" w:type="dxa"/>
            <w:vMerge w:val="continue"/>
            <w:tcBorders>
              <w:top w:val="nil"/>
            </w:tcBorders>
          </w:tcPr>
          <w:p>
            <w:pPr>
              <w:rPr>
                <w:rFonts w:hint="default" w:ascii="Times New Roman" w:hAnsi="Times New Roman" w:cs="Times New Roman"/>
                <w:color w:val="auto"/>
                <w:sz w:val="2"/>
                <w:szCs w:val="2"/>
              </w:rPr>
            </w:pPr>
          </w:p>
        </w:tc>
        <w:tc>
          <w:tcPr>
            <w:tcW w:w="5242" w:type="dxa"/>
            <w:gridSpan w:val="6"/>
          </w:tcPr>
          <w:p>
            <w:pPr>
              <w:pStyle w:val="24"/>
              <w:spacing w:before="2" w:line="289" w:lineRule="exact"/>
              <w:ind w:left="1452"/>
              <w:rPr>
                <w:rFonts w:hint="default" w:ascii="Times New Roman" w:hAnsi="Times New Roman" w:cs="Times New Roman"/>
                <w:color w:val="auto"/>
                <w:sz w:val="24"/>
              </w:rPr>
            </w:pPr>
            <w:r>
              <w:rPr>
                <w:rFonts w:hint="default" w:ascii="Times New Roman" w:hAnsi="Times New Roman" w:eastAsia="仿宋" w:cs="Times New Roman"/>
                <w:color w:val="auto"/>
                <w:sz w:val="24"/>
              </w:rPr>
              <w:t>第</w:t>
            </w:r>
            <w:r>
              <w:rPr>
                <w:rFonts w:hint="default" w:ascii="Times New Roman" w:hAnsi="Times New Roman" w:cs="Times New Roman"/>
                <w:color w:val="auto"/>
                <w:sz w:val="24"/>
              </w:rPr>
              <w:t xml:space="preserve"> </w:t>
            </w:r>
            <w:r>
              <w:rPr>
                <w:rFonts w:hint="default" w:ascii="Times New Roman" w:hAnsi="Times New Roman" w:eastAsia="Times New Roman" w:cs="Times New Roman"/>
                <w:color w:val="auto"/>
                <w:sz w:val="24"/>
              </w:rPr>
              <w:t xml:space="preserve">1 </w:t>
            </w:r>
            <w:r>
              <w:rPr>
                <w:rFonts w:hint="default" w:ascii="Times New Roman" w:hAnsi="Times New Roman" w:eastAsia="仿宋" w:cs="Times New Roman"/>
                <w:color w:val="auto"/>
                <w:sz w:val="24"/>
              </w:rPr>
              <w:t>次观测</w:t>
            </w:r>
            <w:r>
              <w:rPr>
                <w:rFonts w:hint="default" w:ascii="Times New Roman" w:hAnsi="Times New Roman" w:cs="Times New Roman"/>
                <w:color w:val="auto"/>
                <w:sz w:val="24"/>
              </w:rPr>
              <w:t>（</w:t>
            </w:r>
            <w:r>
              <w:rPr>
                <w:rFonts w:hint="default" w:ascii="Times New Roman" w:hAnsi="Times New Roman" w:eastAsia="Times New Roman" w:cs="Times New Roman"/>
                <w:color w:val="auto"/>
                <w:sz w:val="24"/>
              </w:rPr>
              <w:t>201</w:t>
            </w:r>
            <w:r>
              <w:rPr>
                <w:rFonts w:hint="default" w:ascii="Times New Roman" w:hAnsi="Times New Roman" w:cs="Times New Roman"/>
                <w:color w:val="auto"/>
                <w:sz w:val="24"/>
                <w:lang w:val="en-US" w:eastAsia="zh-CN"/>
              </w:rPr>
              <w:t>6</w:t>
            </w:r>
            <w:r>
              <w:rPr>
                <w:rFonts w:hint="default" w:ascii="Times New Roman" w:hAnsi="Times New Roman" w:eastAsia="Times New Roman" w:cs="Times New Roman"/>
                <w:color w:val="auto"/>
                <w:sz w:val="24"/>
              </w:rPr>
              <w:t>.</w:t>
            </w:r>
            <w:r>
              <w:rPr>
                <w:rFonts w:hint="default" w:ascii="Times New Roman" w:hAnsi="Times New Roman" w:cs="Times New Roman"/>
                <w:color w:val="auto"/>
                <w:sz w:val="24"/>
                <w:lang w:val="en-US" w:eastAsia="zh-CN"/>
              </w:rPr>
              <w:t>10</w:t>
            </w:r>
            <w:r>
              <w:rPr>
                <w:rFonts w:hint="default" w:ascii="Times New Roman" w:hAnsi="Times New Roman" w:cs="Times New Roman"/>
                <w:color w:val="auto"/>
                <w:sz w:val="24"/>
              </w:rPr>
              <w:t>）</w:t>
            </w:r>
          </w:p>
        </w:tc>
        <w:tc>
          <w:tcPr>
            <w:tcW w:w="521" w:type="dxa"/>
            <w:vMerge w:val="restart"/>
          </w:tcPr>
          <w:p>
            <w:pPr>
              <w:pStyle w:val="24"/>
              <w:rPr>
                <w:rFonts w:hint="default" w:ascii="Times New Roman" w:hAnsi="Times New Roman" w:cs="Times New Roman"/>
                <w:color w:val="auto"/>
                <w:sz w:val="26"/>
              </w:rPr>
            </w:pPr>
          </w:p>
          <w:p>
            <w:pPr>
              <w:pStyle w:val="24"/>
              <w:spacing w:before="1"/>
              <w:rPr>
                <w:rFonts w:hint="default" w:ascii="Times New Roman" w:hAnsi="Times New Roman" w:cs="Times New Roman"/>
                <w:color w:val="auto"/>
                <w:sz w:val="24"/>
              </w:rPr>
            </w:pPr>
          </w:p>
          <w:p>
            <w:pPr>
              <w:pStyle w:val="24"/>
              <w:ind w:left="141"/>
              <w:rPr>
                <w:rFonts w:hint="default" w:ascii="Times New Roman" w:hAnsi="Times New Roman" w:cs="Times New Roman"/>
                <w:color w:val="auto"/>
                <w:sz w:val="24"/>
              </w:rPr>
            </w:pPr>
            <w:r>
              <w:rPr>
                <w:rFonts w:hint="default" w:ascii="Times New Roman" w:hAnsi="Times New Roman" w:cs="Times New Roman"/>
                <w:color w:val="auto"/>
                <w:sz w:val="24"/>
              </w:rPr>
              <w:t>…</w:t>
            </w:r>
          </w:p>
          <w:p>
            <w:pPr>
              <w:pStyle w:val="24"/>
              <w:ind w:left="141"/>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951" w:type="dxa"/>
            <w:vMerge w:val="restart"/>
          </w:tcPr>
          <w:p>
            <w:pPr>
              <w:pStyle w:val="24"/>
              <w:spacing w:before="1"/>
              <w:rPr>
                <w:rFonts w:hint="default" w:ascii="Times New Roman" w:hAnsi="Times New Roman" w:cs="Times New Roman"/>
                <w:color w:val="auto"/>
                <w:sz w:val="37"/>
              </w:rPr>
            </w:pPr>
          </w:p>
          <w:p>
            <w:pPr>
              <w:pStyle w:val="24"/>
              <w:spacing w:line="235" w:lineRule="auto"/>
              <w:ind w:left="117" w:right="106"/>
              <w:jc w:val="center"/>
              <w:rPr>
                <w:rFonts w:hint="default" w:ascii="Times New Roman" w:hAnsi="Times New Roman" w:eastAsia="Times New Roman" w:cs="Times New Roman"/>
                <w:color w:val="auto"/>
                <w:sz w:val="24"/>
              </w:rPr>
            </w:pPr>
            <w:r>
              <w:rPr>
                <w:rFonts w:hint="default" w:ascii="Times New Roman" w:hAnsi="Times New Roman" w:eastAsia="仿宋" w:cs="Times New Roman"/>
                <w:color w:val="auto"/>
                <w:sz w:val="24"/>
              </w:rPr>
              <w:t>汇流总面积</w:t>
            </w:r>
            <w:r>
              <w:rPr>
                <w:rFonts w:hint="default" w:ascii="Times New Roman" w:hAnsi="Times New Roman" w:eastAsia="Times New Roman" w:cs="Times New Roman"/>
                <w:color w:val="auto"/>
                <w:sz w:val="24"/>
              </w:rPr>
              <w:t>(hm</w:t>
            </w:r>
            <w:r>
              <w:rPr>
                <w:rFonts w:hint="default" w:ascii="Times New Roman" w:hAnsi="Times New Roman" w:eastAsia="Times New Roman" w:cs="Times New Roman"/>
                <w:color w:val="auto"/>
                <w:position w:val="9"/>
                <w:sz w:val="16"/>
              </w:rPr>
              <w:t>2</w:t>
            </w:r>
            <w:r>
              <w:rPr>
                <w:rFonts w:hint="default" w:ascii="Times New Roman" w:hAnsi="Times New Roman" w:eastAsia="Times New Roman" w:cs="Times New Roman"/>
                <w:color w:val="auto"/>
                <w:sz w:val="24"/>
              </w:rPr>
              <w:t>)</w:t>
            </w:r>
          </w:p>
        </w:tc>
        <w:tc>
          <w:tcPr>
            <w:tcW w:w="725" w:type="dxa"/>
            <w:vMerge w:val="restart"/>
          </w:tcPr>
          <w:p>
            <w:pPr>
              <w:pStyle w:val="24"/>
              <w:spacing w:before="2"/>
              <w:rPr>
                <w:rFonts w:hint="default" w:ascii="Times New Roman" w:hAnsi="Times New Roman" w:cs="Times New Roman"/>
                <w:color w:val="auto"/>
                <w:sz w:val="23"/>
              </w:rPr>
            </w:pPr>
          </w:p>
          <w:p>
            <w:pPr>
              <w:pStyle w:val="24"/>
              <w:spacing w:before="1" w:line="242" w:lineRule="auto"/>
              <w:ind w:left="123" w:right="114"/>
              <w:jc w:val="both"/>
              <w:rPr>
                <w:rFonts w:hint="default" w:ascii="Times New Roman" w:hAnsi="Times New Roman" w:cs="Times New Roman"/>
                <w:color w:val="auto"/>
                <w:sz w:val="24"/>
              </w:rPr>
            </w:pPr>
            <w:r>
              <w:rPr>
                <w:rFonts w:hint="default" w:ascii="Times New Roman" w:hAnsi="Times New Roman" w:eastAsia="仿宋" w:cs="Times New Roman"/>
                <w:color w:val="auto"/>
                <w:sz w:val="24"/>
              </w:rPr>
              <w:t>本月平均侵蚀模数</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519" w:hRule="atLeast"/>
          <w:jc w:val="center"/>
        </w:trPr>
        <w:tc>
          <w:tcPr>
            <w:tcW w:w="1279" w:type="dxa"/>
            <w:vMerge w:val="continue"/>
            <w:tcBorders>
              <w:top w:val="nil"/>
            </w:tcBorders>
          </w:tcPr>
          <w:p>
            <w:pPr>
              <w:rPr>
                <w:rFonts w:hint="default" w:ascii="Times New Roman" w:hAnsi="Times New Roman" w:cs="Times New Roman"/>
                <w:color w:val="auto"/>
                <w:sz w:val="2"/>
                <w:szCs w:val="2"/>
              </w:rPr>
            </w:pPr>
          </w:p>
        </w:tc>
        <w:tc>
          <w:tcPr>
            <w:tcW w:w="1027" w:type="dxa"/>
          </w:tcPr>
          <w:p>
            <w:pPr>
              <w:pStyle w:val="24"/>
              <w:rPr>
                <w:rFonts w:hint="default" w:ascii="Times New Roman" w:hAnsi="Times New Roman" w:cs="Times New Roman"/>
                <w:color w:val="auto"/>
                <w:sz w:val="23"/>
              </w:rPr>
            </w:pPr>
          </w:p>
          <w:p>
            <w:pPr>
              <w:pStyle w:val="24"/>
              <w:ind w:left="92" w:right="87"/>
              <w:jc w:val="center"/>
              <w:rPr>
                <w:rFonts w:hint="default" w:ascii="Times New Roman" w:hAnsi="Times New Roman" w:cs="Times New Roman"/>
                <w:color w:val="auto"/>
                <w:sz w:val="24"/>
              </w:rPr>
            </w:pPr>
            <w:r>
              <w:rPr>
                <w:rFonts w:hint="default" w:ascii="Times New Roman" w:hAnsi="Times New Roman" w:eastAsia="仿宋" w:cs="Times New Roman"/>
                <w:color w:val="auto"/>
                <w:sz w:val="24"/>
              </w:rPr>
              <w:t>雨强</w:t>
            </w:r>
          </w:p>
          <w:p>
            <w:pPr>
              <w:pStyle w:val="24"/>
              <w:spacing w:before="2"/>
              <w:ind w:left="92" w:right="89"/>
              <w:jc w:val="center"/>
              <w:rPr>
                <w:rFonts w:hint="default" w:ascii="Times New Roman" w:hAnsi="Times New Roman" w:eastAsia="Times New Roman" w:cs="Times New Roman"/>
                <w:color w:val="auto"/>
                <w:sz w:val="24"/>
              </w:rPr>
            </w:pPr>
            <w:r>
              <w:rPr>
                <w:rFonts w:hint="default" w:ascii="Times New Roman" w:hAnsi="Times New Roman" w:cs="Times New Roman"/>
                <w:color w:val="auto"/>
                <w:sz w:val="24"/>
              </w:rPr>
              <w:t>（</w:t>
            </w:r>
            <w:r>
              <w:rPr>
                <w:rFonts w:hint="default" w:ascii="Times New Roman" w:hAnsi="Times New Roman" w:eastAsia="Times New Roman" w:cs="Times New Roman"/>
                <w:color w:val="auto"/>
                <w:sz w:val="24"/>
              </w:rPr>
              <w:t>mm/h</w:t>
            </w:r>
          </w:p>
          <w:p>
            <w:pPr>
              <w:pStyle w:val="24"/>
              <w:spacing w:before="5"/>
              <w:ind w:left="5"/>
              <w:jc w:val="center"/>
              <w:rPr>
                <w:rFonts w:hint="default" w:ascii="Times New Roman" w:hAnsi="Times New Roman" w:cs="Times New Roman"/>
                <w:color w:val="auto"/>
                <w:sz w:val="24"/>
              </w:rPr>
            </w:pPr>
            <w:r>
              <w:rPr>
                <w:rFonts w:hint="default" w:ascii="Times New Roman" w:hAnsi="Times New Roman" w:cs="Times New Roman"/>
                <w:color w:val="auto"/>
                <w:sz w:val="24"/>
              </w:rPr>
              <w:t>）</w:t>
            </w:r>
          </w:p>
        </w:tc>
        <w:tc>
          <w:tcPr>
            <w:tcW w:w="825" w:type="dxa"/>
          </w:tcPr>
          <w:p>
            <w:pPr>
              <w:pStyle w:val="24"/>
              <w:spacing w:line="242" w:lineRule="auto"/>
              <w:ind w:right="111"/>
              <w:rPr>
                <w:rFonts w:hint="default" w:ascii="Times New Roman" w:hAnsi="Times New Roman" w:eastAsia="仿宋" w:cs="Times New Roman"/>
                <w:color w:val="auto"/>
                <w:sz w:val="24"/>
              </w:rPr>
            </w:pPr>
          </w:p>
          <w:p>
            <w:pPr>
              <w:pStyle w:val="24"/>
              <w:spacing w:line="240" w:lineRule="auto"/>
              <w:ind w:right="111"/>
              <w:rPr>
                <w:rFonts w:hint="default" w:ascii="Times New Roman" w:hAnsi="Times New Roman" w:eastAsia="Times New Roman" w:cs="Times New Roman"/>
                <w:color w:val="auto"/>
                <w:sz w:val="24"/>
              </w:rPr>
            </w:pPr>
            <w:r>
              <w:rPr>
                <w:rFonts w:hint="default" w:ascii="Times New Roman" w:hAnsi="Times New Roman" w:eastAsia="仿宋" w:cs="Times New Roman"/>
                <w:color w:val="auto"/>
                <w:sz w:val="24"/>
              </w:rPr>
              <w:t>降雨量</w:t>
            </w:r>
            <w:r>
              <w:rPr>
                <w:rFonts w:hint="default" w:ascii="Times New Roman" w:hAnsi="Times New Roman" w:eastAsia="Times New Roman" w:cs="Times New Roman"/>
                <w:color w:val="auto"/>
                <w:sz w:val="24"/>
              </w:rPr>
              <w:t>(m)</w:t>
            </w:r>
          </w:p>
        </w:tc>
        <w:tc>
          <w:tcPr>
            <w:tcW w:w="825" w:type="dxa"/>
          </w:tcPr>
          <w:p>
            <w:pPr>
              <w:pStyle w:val="24"/>
              <w:spacing w:before="156" w:line="242" w:lineRule="auto"/>
              <w:ind w:left="173" w:right="164"/>
              <w:jc w:val="center"/>
              <w:rPr>
                <w:rFonts w:hint="default" w:ascii="Times New Roman" w:hAnsi="Times New Roman" w:eastAsia="Times New Roman" w:cs="Times New Roman"/>
                <w:color w:val="auto"/>
                <w:sz w:val="24"/>
              </w:rPr>
            </w:pPr>
            <w:r>
              <w:rPr>
                <w:rFonts w:hint="default" w:ascii="Times New Roman" w:hAnsi="Times New Roman" w:eastAsia="仿宋" w:cs="Times New Roman"/>
                <w:color w:val="auto"/>
                <w:spacing w:val="-9"/>
                <w:sz w:val="24"/>
              </w:rPr>
              <w:t>池内淤积</w:t>
            </w:r>
            <w:r>
              <w:rPr>
                <w:rFonts w:hint="default" w:ascii="Times New Roman" w:hAnsi="Times New Roman" w:eastAsia="仿宋" w:cs="Times New Roman"/>
                <w:color w:val="auto"/>
                <w:sz w:val="24"/>
              </w:rPr>
              <w:t>量</w:t>
            </w:r>
            <w:r>
              <w:rPr>
                <w:rFonts w:hint="default" w:ascii="Times New Roman" w:hAnsi="Times New Roman" w:cs="Times New Roman"/>
                <w:color w:val="auto"/>
                <w:sz w:val="24"/>
              </w:rPr>
              <w:t xml:space="preserve"> </w:t>
            </w:r>
            <w:r>
              <w:rPr>
                <w:rFonts w:hint="default" w:ascii="Times New Roman" w:hAnsi="Times New Roman" w:eastAsia="Times New Roman" w:cs="Times New Roman"/>
                <w:color w:val="auto"/>
                <w:sz w:val="24"/>
              </w:rPr>
              <w:t>(t)</w:t>
            </w:r>
          </w:p>
        </w:tc>
        <w:tc>
          <w:tcPr>
            <w:tcW w:w="902" w:type="dxa"/>
          </w:tcPr>
          <w:p>
            <w:pPr>
              <w:pStyle w:val="24"/>
              <w:spacing w:line="242" w:lineRule="auto"/>
              <w:ind w:left="212" w:right="202"/>
              <w:jc w:val="both"/>
              <w:rPr>
                <w:rFonts w:hint="default" w:ascii="Times New Roman" w:hAnsi="Times New Roman" w:eastAsia="仿宋" w:cs="Times New Roman"/>
                <w:color w:val="auto"/>
                <w:sz w:val="24"/>
              </w:rPr>
            </w:pPr>
            <w:r>
              <w:rPr>
                <w:rFonts w:hint="default" w:ascii="Times New Roman" w:hAnsi="Times New Roman" w:eastAsia="仿宋" w:cs="Times New Roman"/>
                <w:color w:val="auto"/>
                <w:spacing w:val="-9"/>
                <w:sz w:val="24"/>
              </w:rPr>
              <w:t>上游沟道推移质量</w:t>
            </w:r>
          </w:p>
          <w:p>
            <w:pPr>
              <w:pStyle w:val="24"/>
              <w:spacing w:line="257" w:lineRule="exact"/>
              <w:ind w:left="319" w:right="310"/>
              <w:jc w:val="center"/>
              <w:rPr>
                <w:rFonts w:hint="default" w:ascii="Times New Roman" w:hAnsi="Times New Roman" w:cs="Times New Roman"/>
                <w:color w:val="auto"/>
                <w:sz w:val="24"/>
              </w:rPr>
            </w:pPr>
            <w:r>
              <w:rPr>
                <w:rFonts w:hint="default" w:ascii="Times New Roman" w:hAnsi="Times New Roman" w:cs="Times New Roman"/>
                <w:color w:val="auto"/>
                <w:sz w:val="24"/>
              </w:rPr>
              <w:t>(t)</w:t>
            </w:r>
          </w:p>
        </w:tc>
        <w:tc>
          <w:tcPr>
            <w:tcW w:w="1039" w:type="dxa"/>
          </w:tcPr>
          <w:p>
            <w:pPr>
              <w:pStyle w:val="24"/>
              <w:spacing w:before="4"/>
              <w:rPr>
                <w:rFonts w:hint="default" w:ascii="Times New Roman" w:hAnsi="Times New Roman" w:cs="Times New Roman"/>
                <w:color w:val="auto"/>
                <w:sz w:val="24"/>
              </w:rPr>
            </w:pPr>
          </w:p>
          <w:p>
            <w:pPr>
              <w:pStyle w:val="24"/>
              <w:spacing w:line="242" w:lineRule="auto"/>
              <w:ind w:left="160" w:right="151"/>
              <w:jc w:val="center"/>
              <w:rPr>
                <w:rFonts w:hint="default" w:ascii="Times New Roman" w:hAnsi="Times New Roman" w:eastAsia="Times New Roman" w:cs="Times New Roman"/>
                <w:color w:val="auto"/>
                <w:sz w:val="24"/>
              </w:rPr>
            </w:pPr>
            <w:r>
              <w:rPr>
                <w:rFonts w:hint="default" w:ascii="Times New Roman" w:hAnsi="Times New Roman" w:eastAsia="仿宋" w:cs="Times New Roman"/>
                <w:color w:val="auto"/>
                <w:sz w:val="24"/>
              </w:rPr>
              <w:t>出水悬移质量</w:t>
            </w:r>
            <w:r>
              <w:rPr>
                <w:rFonts w:hint="default" w:ascii="Times New Roman" w:hAnsi="Times New Roman" w:eastAsia="Times New Roman" w:cs="Times New Roman"/>
                <w:color w:val="auto"/>
                <w:sz w:val="24"/>
              </w:rPr>
              <w:t>(t)</w:t>
            </w:r>
          </w:p>
        </w:tc>
        <w:tc>
          <w:tcPr>
            <w:tcW w:w="624" w:type="dxa"/>
          </w:tcPr>
          <w:p>
            <w:pPr>
              <w:pStyle w:val="24"/>
              <w:spacing w:line="242" w:lineRule="auto"/>
              <w:ind w:left="194" w:right="182"/>
              <w:jc w:val="both"/>
              <w:rPr>
                <w:rFonts w:hint="default" w:ascii="Times New Roman" w:hAnsi="Times New Roman" w:cs="Times New Roman"/>
                <w:color w:val="auto"/>
                <w:sz w:val="24"/>
              </w:rPr>
            </w:pPr>
            <w:r>
              <w:rPr>
                <w:rFonts w:hint="default" w:ascii="Times New Roman" w:hAnsi="Times New Roman" w:cs="Times New Roman"/>
                <w:color w:val="auto"/>
                <w:sz w:val="24"/>
              </w:rPr>
              <w:t>流失总量</w:t>
            </w:r>
          </w:p>
          <w:p>
            <w:pPr>
              <w:pStyle w:val="24"/>
              <w:spacing w:line="257" w:lineRule="exact"/>
              <w:ind w:left="201"/>
              <w:rPr>
                <w:rFonts w:hint="default" w:ascii="Times New Roman" w:hAnsi="Times New Roman" w:cs="Times New Roman"/>
                <w:color w:val="auto"/>
                <w:sz w:val="24"/>
              </w:rPr>
            </w:pPr>
            <w:r>
              <w:rPr>
                <w:rFonts w:hint="default" w:ascii="Times New Roman" w:hAnsi="Times New Roman" w:cs="Times New Roman"/>
                <w:color w:val="auto"/>
                <w:sz w:val="24"/>
              </w:rPr>
              <w:t>(t)</w:t>
            </w:r>
          </w:p>
        </w:tc>
        <w:tc>
          <w:tcPr>
            <w:tcW w:w="521" w:type="dxa"/>
            <w:vMerge w:val="continue"/>
            <w:tcBorders>
              <w:top w:val="nil"/>
            </w:tcBorders>
          </w:tcPr>
          <w:p>
            <w:pPr>
              <w:rPr>
                <w:rFonts w:hint="default" w:ascii="Times New Roman" w:hAnsi="Times New Roman" w:cs="Times New Roman"/>
                <w:color w:val="auto"/>
                <w:sz w:val="2"/>
                <w:szCs w:val="2"/>
              </w:rPr>
            </w:pPr>
          </w:p>
        </w:tc>
        <w:tc>
          <w:tcPr>
            <w:tcW w:w="951" w:type="dxa"/>
            <w:vMerge w:val="continue"/>
            <w:tcBorders>
              <w:top w:val="nil"/>
            </w:tcBorders>
          </w:tcPr>
          <w:p>
            <w:pPr>
              <w:rPr>
                <w:rFonts w:hint="default" w:ascii="Times New Roman" w:hAnsi="Times New Roman" w:cs="Times New Roman"/>
                <w:color w:val="auto"/>
                <w:sz w:val="2"/>
                <w:szCs w:val="2"/>
              </w:rPr>
            </w:pPr>
          </w:p>
        </w:tc>
        <w:tc>
          <w:tcPr>
            <w:tcW w:w="725" w:type="dxa"/>
            <w:vMerge w:val="continue"/>
            <w:tcBorders>
              <w:top w:val="nil"/>
            </w:tcBorders>
          </w:tcPr>
          <w:p>
            <w:pPr>
              <w:rPr>
                <w:rFonts w:hint="default" w:ascii="Times New Roman" w:hAnsi="Times New Roman" w:cs="Times New Roman"/>
                <w:color w:val="auto"/>
                <w:sz w:val="2"/>
                <w:szCs w:val="2"/>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5" w:hRule="atLeast"/>
          <w:jc w:val="center"/>
        </w:trPr>
        <w:tc>
          <w:tcPr>
            <w:tcW w:w="1279" w:type="dxa"/>
          </w:tcPr>
          <w:p>
            <w:pPr>
              <w:pStyle w:val="24"/>
              <w:rPr>
                <w:rFonts w:hint="default" w:ascii="Times New Roman" w:hAnsi="Times New Roman" w:cs="Times New Roman"/>
                <w:color w:val="auto"/>
                <w:sz w:val="20"/>
              </w:rPr>
            </w:pPr>
          </w:p>
        </w:tc>
        <w:tc>
          <w:tcPr>
            <w:tcW w:w="1027" w:type="dxa"/>
          </w:tcPr>
          <w:p>
            <w:pPr>
              <w:pStyle w:val="24"/>
              <w:rPr>
                <w:rFonts w:hint="default" w:ascii="Times New Roman" w:hAnsi="Times New Roman" w:cs="Times New Roman"/>
                <w:color w:val="auto"/>
                <w:sz w:val="20"/>
              </w:rPr>
            </w:pPr>
          </w:p>
        </w:tc>
        <w:tc>
          <w:tcPr>
            <w:tcW w:w="825" w:type="dxa"/>
          </w:tcPr>
          <w:p>
            <w:pPr>
              <w:pStyle w:val="24"/>
              <w:rPr>
                <w:rFonts w:hint="default" w:ascii="Times New Roman" w:hAnsi="Times New Roman" w:cs="Times New Roman"/>
                <w:color w:val="auto"/>
                <w:sz w:val="20"/>
              </w:rPr>
            </w:pPr>
          </w:p>
        </w:tc>
        <w:tc>
          <w:tcPr>
            <w:tcW w:w="825" w:type="dxa"/>
          </w:tcPr>
          <w:p>
            <w:pPr>
              <w:pStyle w:val="24"/>
              <w:rPr>
                <w:rFonts w:hint="default" w:ascii="Times New Roman" w:hAnsi="Times New Roman" w:cs="Times New Roman"/>
                <w:color w:val="auto"/>
                <w:sz w:val="20"/>
              </w:rPr>
            </w:pPr>
          </w:p>
        </w:tc>
        <w:tc>
          <w:tcPr>
            <w:tcW w:w="902" w:type="dxa"/>
          </w:tcPr>
          <w:p>
            <w:pPr>
              <w:pStyle w:val="24"/>
              <w:rPr>
                <w:rFonts w:hint="default" w:ascii="Times New Roman" w:hAnsi="Times New Roman" w:cs="Times New Roman"/>
                <w:color w:val="auto"/>
                <w:sz w:val="20"/>
              </w:rPr>
            </w:pPr>
          </w:p>
        </w:tc>
        <w:tc>
          <w:tcPr>
            <w:tcW w:w="1039" w:type="dxa"/>
          </w:tcPr>
          <w:p>
            <w:pPr>
              <w:pStyle w:val="24"/>
              <w:rPr>
                <w:rFonts w:hint="default" w:ascii="Times New Roman" w:hAnsi="Times New Roman" w:cs="Times New Roman"/>
                <w:color w:val="auto"/>
                <w:sz w:val="20"/>
              </w:rPr>
            </w:pPr>
          </w:p>
        </w:tc>
        <w:tc>
          <w:tcPr>
            <w:tcW w:w="624" w:type="dxa"/>
          </w:tcPr>
          <w:p>
            <w:pPr>
              <w:pStyle w:val="24"/>
              <w:rPr>
                <w:rFonts w:hint="default" w:ascii="Times New Roman" w:hAnsi="Times New Roman" w:cs="Times New Roman"/>
                <w:color w:val="auto"/>
                <w:sz w:val="20"/>
              </w:rPr>
            </w:pPr>
          </w:p>
        </w:tc>
        <w:tc>
          <w:tcPr>
            <w:tcW w:w="521" w:type="dxa"/>
          </w:tcPr>
          <w:p>
            <w:pPr>
              <w:pStyle w:val="24"/>
              <w:rPr>
                <w:rFonts w:hint="default" w:ascii="Times New Roman" w:hAnsi="Times New Roman" w:cs="Times New Roman"/>
                <w:color w:val="auto"/>
                <w:sz w:val="20"/>
              </w:rPr>
            </w:pPr>
          </w:p>
        </w:tc>
        <w:tc>
          <w:tcPr>
            <w:tcW w:w="951" w:type="dxa"/>
          </w:tcPr>
          <w:p>
            <w:pPr>
              <w:pStyle w:val="24"/>
              <w:rPr>
                <w:rFonts w:hint="default" w:ascii="Times New Roman" w:hAnsi="Times New Roman" w:cs="Times New Roman"/>
                <w:color w:val="auto"/>
                <w:sz w:val="20"/>
              </w:rPr>
            </w:pPr>
          </w:p>
        </w:tc>
        <w:tc>
          <w:tcPr>
            <w:tcW w:w="725" w:type="dxa"/>
          </w:tcPr>
          <w:p>
            <w:pPr>
              <w:pStyle w:val="24"/>
              <w:rPr>
                <w:rFonts w:hint="default" w:ascii="Times New Roman" w:hAnsi="Times New Roman" w:cs="Times New Roman"/>
                <w:color w:val="auto"/>
                <w:sz w:val="20"/>
              </w:rPr>
            </w:pPr>
          </w:p>
        </w:tc>
      </w:tr>
    </w:tbl>
    <w:p>
      <w:pPr>
        <w:keepNext w:val="0"/>
        <w:keepLines w:val="0"/>
        <w:pageBreakBefore w:val="0"/>
        <w:widowControl w:val="0"/>
        <w:kinsoku/>
        <w:wordWrap/>
        <w:overflowPunct/>
        <w:topLinePunct w:val="0"/>
        <w:autoSpaceDE/>
        <w:autoSpaceDN/>
        <w:bidi w:val="0"/>
        <w:adjustRightInd/>
        <w:snapToGrid/>
        <w:spacing w:line="360" w:lineRule="auto"/>
        <w:jc w:val="both"/>
        <w:textAlignment w:val="auto"/>
        <w:rPr>
          <w:rFonts w:hint="default" w:ascii="Times New Roman" w:hAnsi="Times New Roman" w:cs="Times New Roman"/>
          <w:color w:val="auto"/>
          <w:sz w:val="24"/>
          <w:lang w:val="en-US" w:eastAsia="zh-CN"/>
        </w:rPr>
      </w:pPr>
      <w:r>
        <w:rPr>
          <w:rFonts w:hint="default" w:ascii="Times New Roman" w:hAnsi="Times New Roman" w:cs="Times New Roman"/>
          <w:color w:val="auto"/>
          <w:sz w:val="24"/>
          <w:lang w:val="en-US" w:eastAsia="zh-CN"/>
        </w:rPr>
        <w:t>3.2.4抽样调查法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植物措施抽样法：综合分析植物措施的立地条件、分布与特点，选择有代表性的地块作为监测点，在每个监测点内选择3个不同生长状况的样地进行监测。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工程措施抽样法：工程措施监测点应根据工程措施设计的数量、类型和分布情况，结合现场调查进行布设。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应以单位工程或分部工程作为工程措施监测点。单位工程和分部工程的划分应按现行行业标准《水土保持工程质量评定规程》SL 336  的规定执行。每个重要单位工程都应布设监测点，重要单位工程的界定应按现行国家标准《开发建设项目水土保持设施验收技术规程》（GB/T 22490）的规定执行。当某种类型的工程措施在多处分布时，应选择2处以上作为监测点。</w:t>
      </w:r>
    </w:p>
    <w:p>
      <w:pPr>
        <w:pStyle w:val="3"/>
        <w:bidi w:val="0"/>
        <w:rPr>
          <w:rFonts w:hint="default" w:ascii="Times New Roman" w:hAnsi="Times New Roman" w:cs="Times New Roman"/>
          <w:color w:val="auto"/>
          <w:lang w:val="en-US" w:eastAsia="zh-CN"/>
        </w:rPr>
      </w:pPr>
      <w:bookmarkStart w:id="44" w:name="_Toc27010"/>
      <w:bookmarkStart w:id="45" w:name="_Toc27297"/>
      <w:bookmarkStart w:id="46" w:name="_Toc24430"/>
      <w:r>
        <w:rPr>
          <w:rFonts w:hint="default" w:ascii="Times New Roman" w:hAnsi="Times New Roman" w:cs="Times New Roman"/>
          <w:color w:val="auto"/>
          <w:lang w:val="en-US" w:eastAsia="zh-CN"/>
        </w:rPr>
        <w:t>3.3试运行期间</w:t>
      </w:r>
      <w:bookmarkEnd w:id="44"/>
      <w:bookmarkEnd w:id="45"/>
      <w:bookmarkEnd w:id="4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工程试运行期监测主要为水土保持措施运行状况及防护效果监测，根据收集的资料计算项目六项指标达标情况，并做出评价。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1、扰动土地整治率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分析说明扰动土地整治情况。计算扰动土地整治率时，先按监测分区计算各监测分区的扰动土地整治率，后按加权平均的方法计算项目建设区扰动土地整治率。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2、土壤流失控制比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根据土壤流失量监测结果，分别计算施工准备期、施工期、试运行期（植被恢复期）土壤流失控制比。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3、拦渣率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说明弃渣拦挡及利用情况，包括临时堆渣的防护情况等，计算拦渣率。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4、林草覆盖率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汇总分析项目建设区表土剥离情况。计算项目水土流失防治责任范围内保护的表土数量占可剥离表土总量的百分比。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5、林草植被恢复率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汇总林草植被恢复情况，计算林草植被恢复率。计算时，先按监测分区计算各监测分区的林草植被恢复率，后按加权平均的方法计算项目建设区林草植被恢复率。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6、林草覆盖率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根据项目建设区林草覆盖情况，计算林草覆盖率。计算时，先按监测分区计算各监测分区的林草覆盖率，后按加权平均的方法计算项目建设区林草覆盖率。</w:t>
      </w:r>
    </w:p>
    <w:p>
      <w:pPr>
        <w:pStyle w:val="2"/>
        <w:bidi w:val="0"/>
        <w:spacing w:line="240" w:lineRule="auto"/>
        <w:rPr>
          <w:rFonts w:hint="default" w:ascii="Times New Roman" w:hAnsi="Times New Roman" w:cs="Times New Roman"/>
          <w:color w:val="auto"/>
          <w:lang w:val="en-US" w:eastAsia="zh-CN"/>
        </w:rPr>
      </w:pPr>
      <w:bookmarkStart w:id="47" w:name="_Toc20678"/>
      <w:bookmarkStart w:id="48" w:name="_Toc8675"/>
      <w:bookmarkStart w:id="49" w:name="_Toc6697"/>
      <w:r>
        <w:rPr>
          <w:rFonts w:hint="default" w:ascii="Times New Roman" w:hAnsi="Times New Roman" w:cs="Times New Roman"/>
          <w:color w:val="auto"/>
          <w:lang w:val="en-US" w:eastAsia="zh-CN"/>
        </w:rPr>
        <w:t>4预期成果及形式</w:t>
      </w:r>
      <w:bookmarkEnd w:id="47"/>
      <w:bookmarkEnd w:id="48"/>
      <w:bookmarkEnd w:id="49"/>
    </w:p>
    <w:p>
      <w:pPr>
        <w:pStyle w:val="3"/>
        <w:bidi w:val="0"/>
        <w:spacing w:line="240" w:lineRule="auto"/>
        <w:rPr>
          <w:rFonts w:hint="default" w:ascii="Times New Roman" w:hAnsi="Times New Roman" w:cs="Times New Roman"/>
          <w:color w:val="auto"/>
          <w:lang w:val="en-US" w:eastAsia="zh-CN"/>
        </w:rPr>
      </w:pPr>
      <w:bookmarkStart w:id="50" w:name="_Toc3379"/>
      <w:bookmarkStart w:id="51" w:name="_Toc19064"/>
      <w:bookmarkStart w:id="52" w:name="_Toc9801"/>
      <w:r>
        <w:rPr>
          <w:rFonts w:hint="default" w:ascii="Times New Roman" w:hAnsi="Times New Roman" w:cs="Times New Roman"/>
          <w:color w:val="auto"/>
          <w:lang w:val="en-US" w:eastAsia="zh-CN"/>
        </w:rPr>
        <w:t>4.1监测记录</w:t>
      </w:r>
      <w:bookmarkEnd w:id="50"/>
      <w:bookmarkEnd w:id="51"/>
      <w:bookmarkEnd w:id="5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default" w:ascii="Times New Roman" w:hAnsi="Times New Roman" w:cs="Times New Roman"/>
          <w:color w:val="auto"/>
        </w:rPr>
      </w:pPr>
      <w:bookmarkStart w:id="53" w:name="_Toc3187"/>
      <w:bookmarkStart w:id="54" w:name="_Toc9353"/>
      <w:bookmarkStart w:id="55" w:name="_Toc18926"/>
      <w:r>
        <w:rPr>
          <w:rFonts w:hint="default" w:ascii="Times New Roman" w:hAnsi="Times New Roman" w:cs="Times New Roman"/>
          <w:color w:val="auto"/>
        </w:rPr>
        <w:t>1、扰动地表范围等面积监测</w:t>
      </w:r>
      <w:bookmarkEnd w:id="53"/>
      <w:bookmarkEnd w:id="54"/>
      <w:bookmarkEnd w:id="5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对调查区按扰动类型分区同时记录调查点名称、工程名称、扰动类型和监测数据编号等。扰动土地情况监测记录表详见表。</w:t>
      </w:r>
    </w:p>
    <w:p>
      <w:pPr>
        <w:spacing w:before="11" w:after="17"/>
        <w:ind w:left="2655" w:right="0" w:firstLine="240" w:firstLineChars="100"/>
        <w:jc w:val="both"/>
        <w:rPr>
          <w:rFonts w:hint="default" w:ascii="Times New Roman" w:hAnsi="Times New Roman" w:eastAsia="Times New Roman" w:cs="Times New Roman"/>
          <w:b/>
          <w:color w:val="auto"/>
          <w:sz w:val="24"/>
        </w:rPr>
      </w:pPr>
      <w:r>
        <w:rPr>
          <w:rFonts w:hint="default" w:ascii="Times New Roman" w:hAnsi="Times New Roman" w:eastAsia="Times New Roman" w:cs="Times New Roman"/>
          <w:b/>
          <w:color w:val="auto"/>
          <w:sz w:val="24"/>
        </w:rPr>
        <w:t xml:space="preserve"> </w:t>
      </w:r>
    </w:p>
    <w:p>
      <w:pPr>
        <w:spacing w:before="11" w:after="17"/>
        <w:ind w:left="2655" w:right="0" w:firstLine="240" w:firstLineChars="100"/>
        <w:jc w:val="both"/>
        <w:rPr>
          <w:rFonts w:hint="default" w:ascii="Times New Roman" w:hAnsi="Times New Roman" w:eastAsia="Times New Roman" w:cs="Times New Roman"/>
          <w:b/>
          <w:color w:val="auto"/>
          <w:sz w:val="24"/>
        </w:rPr>
      </w:pPr>
    </w:p>
    <w:p>
      <w:pPr>
        <w:spacing w:before="11" w:after="17"/>
        <w:ind w:left="2655" w:right="0" w:firstLine="240" w:firstLineChars="100"/>
        <w:jc w:val="both"/>
        <w:rPr>
          <w:rFonts w:hint="default" w:ascii="Times New Roman" w:hAnsi="Times New Roman" w:eastAsia="Times New Roman" w:cs="Times New Roman"/>
          <w:b/>
          <w:color w:val="auto"/>
          <w:sz w:val="24"/>
        </w:rPr>
      </w:pPr>
    </w:p>
    <w:p>
      <w:pPr>
        <w:spacing w:before="11" w:after="17"/>
        <w:ind w:left="2655" w:right="0" w:firstLine="240" w:firstLineChars="100"/>
        <w:jc w:val="both"/>
        <w:rPr>
          <w:rFonts w:hint="default" w:ascii="Times New Roman" w:hAnsi="Times New Roman" w:eastAsia="Times New Roman" w:cs="Times New Roman"/>
          <w:b/>
          <w:color w:val="auto"/>
          <w:sz w:val="24"/>
        </w:rPr>
      </w:pPr>
    </w:p>
    <w:p>
      <w:pPr>
        <w:spacing w:before="11" w:after="17"/>
        <w:ind w:left="2655" w:right="0" w:firstLine="240" w:firstLineChars="100"/>
        <w:jc w:val="both"/>
        <w:rPr>
          <w:rFonts w:hint="default" w:ascii="Times New Roman" w:hAnsi="Times New Roman" w:cs="Times New Roman"/>
          <w:color w:val="auto"/>
          <w:sz w:val="24"/>
        </w:rPr>
      </w:pPr>
      <w:r>
        <w:rPr>
          <w:rFonts w:hint="default" w:ascii="Times New Roman" w:hAnsi="Times New Roman" w:cs="Times New Roman"/>
          <w:color w:val="auto"/>
          <w:sz w:val="24"/>
        </w:rPr>
        <w:t>扰动土地情况监测记录表</w:t>
      </w:r>
    </w:p>
    <w:tbl>
      <w:tblPr>
        <w:tblStyle w:val="19"/>
        <w:tblW w:w="0" w:type="auto"/>
        <w:tblInd w:w="349"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04"/>
        <w:gridCol w:w="360"/>
        <w:gridCol w:w="360"/>
        <w:gridCol w:w="360"/>
        <w:gridCol w:w="360"/>
        <w:gridCol w:w="360"/>
        <w:gridCol w:w="1063"/>
        <w:gridCol w:w="965"/>
        <w:gridCol w:w="562"/>
        <w:gridCol w:w="562"/>
        <w:gridCol w:w="1064"/>
        <w:gridCol w:w="966"/>
        <w:gridCol w:w="563"/>
        <w:gridCol w:w="460"/>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8" w:hRule="atLeast"/>
        </w:trPr>
        <w:tc>
          <w:tcPr>
            <w:tcW w:w="504" w:type="dxa"/>
            <w:vMerge w:val="restart"/>
          </w:tcPr>
          <w:p>
            <w:pPr>
              <w:pStyle w:val="24"/>
              <w:rPr>
                <w:rFonts w:hint="default" w:ascii="Times New Roman" w:hAnsi="Times New Roman" w:eastAsia="仿宋" w:cs="Times New Roman"/>
                <w:color w:val="auto"/>
                <w:sz w:val="20"/>
              </w:rPr>
            </w:pPr>
          </w:p>
          <w:p>
            <w:pPr>
              <w:pStyle w:val="24"/>
              <w:spacing w:before="9"/>
              <w:rPr>
                <w:rFonts w:hint="default" w:ascii="Times New Roman" w:hAnsi="Times New Roman" w:eastAsia="仿宋" w:cs="Times New Roman"/>
                <w:color w:val="auto"/>
                <w:sz w:val="25"/>
              </w:rPr>
            </w:pPr>
          </w:p>
          <w:p>
            <w:pPr>
              <w:pStyle w:val="24"/>
              <w:spacing w:before="1"/>
              <w:ind w:left="4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编号</w:t>
            </w:r>
          </w:p>
        </w:tc>
        <w:tc>
          <w:tcPr>
            <w:tcW w:w="360" w:type="dxa"/>
            <w:vMerge w:val="restart"/>
          </w:tcPr>
          <w:p>
            <w:pPr>
              <w:pStyle w:val="24"/>
              <w:spacing w:before="178" w:line="242" w:lineRule="auto"/>
              <w:ind w:left="71" w:right="60"/>
              <w:jc w:val="both"/>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监测日期</w:t>
            </w:r>
          </w:p>
        </w:tc>
        <w:tc>
          <w:tcPr>
            <w:tcW w:w="360" w:type="dxa"/>
            <w:vMerge w:val="restart"/>
          </w:tcPr>
          <w:p>
            <w:pPr>
              <w:pStyle w:val="24"/>
              <w:spacing w:before="178" w:line="242" w:lineRule="auto"/>
              <w:ind w:left="71" w:right="60"/>
              <w:jc w:val="both"/>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监测分区</w:t>
            </w:r>
          </w:p>
        </w:tc>
        <w:tc>
          <w:tcPr>
            <w:tcW w:w="3108" w:type="dxa"/>
            <w:gridSpan w:val="5"/>
          </w:tcPr>
          <w:p>
            <w:pPr>
              <w:pStyle w:val="24"/>
              <w:spacing w:before="37"/>
              <w:ind w:left="1113" w:right="1099"/>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扰动情况</w:t>
            </w:r>
          </w:p>
        </w:tc>
        <w:tc>
          <w:tcPr>
            <w:tcW w:w="3154" w:type="dxa"/>
            <w:gridSpan w:val="4"/>
          </w:tcPr>
          <w:p>
            <w:pPr>
              <w:pStyle w:val="24"/>
              <w:spacing w:before="37"/>
              <w:ind w:left="1135" w:right="1124"/>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整治情况</w:t>
            </w:r>
          </w:p>
        </w:tc>
        <w:tc>
          <w:tcPr>
            <w:tcW w:w="563" w:type="dxa"/>
            <w:vMerge w:val="restart"/>
          </w:tcPr>
          <w:p>
            <w:pPr>
              <w:pStyle w:val="24"/>
              <w:rPr>
                <w:rFonts w:hint="default" w:ascii="Times New Roman" w:hAnsi="Times New Roman" w:eastAsia="仿宋" w:cs="Times New Roman"/>
                <w:color w:val="auto"/>
                <w:sz w:val="20"/>
              </w:rPr>
            </w:pPr>
          </w:p>
          <w:p>
            <w:pPr>
              <w:pStyle w:val="24"/>
              <w:spacing w:before="1"/>
              <w:rPr>
                <w:rFonts w:hint="default" w:ascii="Times New Roman" w:hAnsi="Times New Roman" w:eastAsia="仿宋" w:cs="Times New Roman"/>
                <w:color w:val="auto"/>
                <w:sz w:val="15"/>
              </w:rPr>
            </w:pPr>
          </w:p>
          <w:p>
            <w:pPr>
              <w:pStyle w:val="24"/>
              <w:spacing w:line="244" w:lineRule="auto"/>
              <w:ind w:left="66" w:right="57"/>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现场情况</w:t>
            </w:r>
          </w:p>
        </w:tc>
        <w:tc>
          <w:tcPr>
            <w:tcW w:w="460" w:type="dxa"/>
            <w:vMerge w:val="restart"/>
          </w:tcPr>
          <w:p>
            <w:pPr>
              <w:pStyle w:val="24"/>
              <w:rPr>
                <w:rFonts w:hint="default" w:ascii="Times New Roman" w:hAnsi="Times New Roman" w:eastAsia="仿宋" w:cs="Times New Roman"/>
                <w:color w:val="auto"/>
                <w:sz w:val="20"/>
              </w:rPr>
            </w:pPr>
          </w:p>
          <w:p>
            <w:pPr>
              <w:pStyle w:val="24"/>
              <w:spacing w:before="1"/>
              <w:rPr>
                <w:rFonts w:hint="default" w:ascii="Times New Roman" w:hAnsi="Times New Roman" w:eastAsia="仿宋" w:cs="Times New Roman"/>
                <w:color w:val="auto"/>
                <w:sz w:val="15"/>
              </w:rPr>
            </w:pPr>
          </w:p>
          <w:p>
            <w:pPr>
              <w:pStyle w:val="24"/>
              <w:spacing w:line="244" w:lineRule="auto"/>
              <w:ind w:left="117" w:right="5" w:hanging="104"/>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填表人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6" w:hRule="atLeast"/>
        </w:trPr>
        <w:tc>
          <w:tcPr>
            <w:tcW w:w="504" w:type="dxa"/>
            <w:vMerge w:val="continue"/>
            <w:tcBorders>
              <w:top w:val="nil"/>
            </w:tcBorders>
          </w:tcPr>
          <w:p>
            <w:pPr>
              <w:rPr>
                <w:rFonts w:hint="default" w:ascii="Times New Roman" w:hAnsi="Times New Roman" w:cs="Times New Roman"/>
                <w:color w:val="auto"/>
                <w:sz w:val="2"/>
                <w:szCs w:val="2"/>
              </w:rPr>
            </w:pPr>
          </w:p>
        </w:tc>
        <w:tc>
          <w:tcPr>
            <w:tcW w:w="360" w:type="dxa"/>
            <w:vMerge w:val="continue"/>
            <w:tcBorders>
              <w:top w:val="nil"/>
            </w:tcBorders>
          </w:tcPr>
          <w:p>
            <w:pPr>
              <w:rPr>
                <w:rFonts w:hint="default" w:ascii="Times New Roman" w:hAnsi="Times New Roman" w:cs="Times New Roman"/>
                <w:color w:val="auto"/>
                <w:sz w:val="2"/>
                <w:szCs w:val="2"/>
              </w:rPr>
            </w:pPr>
          </w:p>
        </w:tc>
        <w:tc>
          <w:tcPr>
            <w:tcW w:w="360" w:type="dxa"/>
            <w:vMerge w:val="continue"/>
            <w:tcBorders>
              <w:top w:val="nil"/>
            </w:tcBorders>
          </w:tcPr>
          <w:p>
            <w:pPr>
              <w:rPr>
                <w:rFonts w:hint="default" w:ascii="Times New Roman" w:hAnsi="Times New Roman" w:cs="Times New Roman"/>
                <w:color w:val="auto"/>
                <w:sz w:val="2"/>
                <w:szCs w:val="2"/>
              </w:rPr>
            </w:pPr>
          </w:p>
        </w:tc>
        <w:tc>
          <w:tcPr>
            <w:tcW w:w="360" w:type="dxa"/>
          </w:tcPr>
          <w:p>
            <w:pPr>
              <w:pStyle w:val="24"/>
              <w:spacing w:line="242" w:lineRule="auto"/>
              <w:ind w:left="71" w:right="60"/>
              <w:jc w:val="both"/>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扰动形</w:t>
            </w:r>
          </w:p>
          <w:p>
            <w:pPr>
              <w:pStyle w:val="24"/>
              <w:spacing w:before="3" w:line="248" w:lineRule="exact"/>
              <w:ind w:left="71"/>
              <w:rPr>
                <w:rFonts w:hint="default" w:ascii="Times New Roman" w:hAnsi="Times New Roman" w:eastAsia="仿宋" w:cs="Times New Roman"/>
                <w:color w:val="auto"/>
                <w:sz w:val="21"/>
              </w:rPr>
            </w:pPr>
            <w:r>
              <w:rPr>
                <w:rFonts w:hint="default" w:ascii="Times New Roman" w:hAnsi="Times New Roman" w:eastAsia="仿宋" w:cs="Times New Roman"/>
                <w:color w:val="auto"/>
                <w:w w:val="100"/>
                <w:sz w:val="21"/>
              </w:rPr>
              <w:t>式</w:t>
            </w:r>
          </w:p>
        </w:tc>
        <w:tc>
          <w:tcPr>
            <w:tcW w:w="360" w:type="dxa"/>
          </w:tcPr>
          <w:p>
            <w:pPr>
              <w:pStyle w:val="24"/>
              <w:spacing w:line="242" w:lineRule="auto"/>
              <w:ind w:left="71" w:right="60"/>
              <w:jc w:val="both"/>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扰动宽</w:t>
            </w:r>
          </w:p>
          <w:p>
            <w:pPr>
              <w:pStyle w:val="24"/>
              <w:spacing w:before="3" w:line="248" w:lineRule="exact"/>
              <w:ind w:left="71"/>
              <w:rPr>
                <w:rFonts w:hint="default" w:ascii="Times New Roman" w:hAnsi="Times New Roman" w:eastAsia="仿宋" w:cs="Times New Roman"/>
                <w:color w:val="auto"/>
                <w:sz w:val="21"/>
              </w:rPr>
            </w:pPr>
            <w:r>
              <w:rPr>
                <w:rFonts w:hint="default" w:ascii="Times New Roman" w:hAnsi="Times New Roman" w:eastAsia="仿宋" w:cs="Times New Roman"/>
                <w:color w:val="auto"/>
                <w:w w:val="100"/>
                <w:sz w:val="21"/>
              </w:rPr>
              <w:t>度</w:t>
            </w:r>
          </w:p>
        </w:tc>
        <w:tc>
          <w:tcPr>
            <w:tcW w:w="360" w:type="dxa"/>
          </w:tcPr>
          <w:p>
            <w:pPr>
              <w:pStyle w:val="24"/>
              <w:spacing w:line="242" w:lineRule="auto"/>
              <w:ind w:left="71" w:right="60"/>
              <w:jc w:val="both"/>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扰动面</w:t>
            </w:r>
          </w:p>
          <w:p>
            <w:pPr>
              <w:pStyle w:val="24"/>
              <w:spacing w:before="3" w:line="248" w:lineRule="exact"/>
              <w:ind w:left="71"/>
              <w:rPr>
                <w:rFonts w:hint="default" w:ascii="Times New Roman" w:hAnsi="Times New Roman" w:eastAsia="仿宋" w:cs="Times New Roman"/>
                <w:color w:val="auto"/>
                <w:sz w:val="21"/>
              </w:rPr>
            </w:pPr>
            <w:r>
              <w:rPr>
                <w:rFonts w:hint="default" w:ascii="Times New Roman" w:hAnsi="Times New Roman" w:eastAsia="仿宋" w:cs="Times New Roman"/>
                <w:color w:val="auto"/>
                <w:w w:val="100"/>
                <w:sz w:val="21"/>
              </w:rPr>
              <w:t>积</w:t>
            </w:r>
          </w:p>
        </w:tc>
        <w:tc>
          <w:tcPr>
            <w:tcW w:w="1063" w:type="dxa"/>
          </w:tcPr>
          <w:p>
            <w:pPr>
              <w:pStyle w:val="24"/>
              <w:spacing w:before="4"/>
              <w:rPr>
                <w:rFonts w:hint="default" w:ascii="Times New Roman" w:hAnsi="Times New Roman" w:eastAsia="仿宋" w:cs="Times New Roman"/>
                <w:color w:val="auto"/>
                <w:sz w:val="21"/>
              </w:rPr>
            </w:pPr>
          </w:p>
          <w:p>
            <w:pPr>
              <w:pStyle w:val="24"/>
              <w:spacing w:line="242" w:lineRule="auto"/>
              <w:ind w:left="110" w:right="-15" w:hanging="106"/>
              <w:rPr>
                <w:rFonts w:hint="default" w:ascii="Times New Roman" w:hAnsi="Times New Roman" w:eastAsia="仿宋" w:cs="Times New Roman"/>
                <w:color w:val="auto"/>
                <w:sz w:val="21"/>
              </w:rPr>
            </w:pPr>
            <w:r>
              <w:rPr>
                <w:rFonts w:hint="default" w:ascii="Times New Roman" w:hAnsi="Times New Roman" w:eastAsia="仿宋" w:cs="Times New Roman"/>
                <w:color w:val="auto"/>
                <w:spacing w:val="-4"/>
                <w:sz w:val="21"/>
              </w:rPr>
              <w:t>扰动前土地</w:t>
            </w:r>
            <w:r>
              <w:rPr>
                <w:rFonts w:hint="default" w:ascii="Times New Roman" w:hAnsi="Times New Roman" w:eastAsia="仿宋" w:cs="Times New Roman"/>
                <w:color w:val="auto"/>
                <w:spacing w:val="-1"/>
                <w:sz w:val="21"/>
              </w:rPr>
              <w:t>利用类型</w:t>
            </w:r>
          </w:p>
        </w:tc>
        <w:tc>
          <w:tcPr>
            <w:tcW w:w="965" w:type="dxa"/>
          </w:tcPr>
          <w:p>
            <w:pPr>
              <w:pStyle w:val="24"/>
              <w:spacing w:before="4"/>
              <w:rPr>
                <w:rFonts w:hint="default" w:ascii="Times New Roman" w:hAnsi="Times New Roman" w:eastAsia="仿宋" w:cs="Times New Roman"/>
                <w:color w:val="auto"/>
                <w:sz w:val="21"/>
              </w:rPr>
            </w:pPr>
          </w:p>
          <w:p>
            <w:pPr>
              <w:pStyle w:val="24"/>
              <w:spacing w:line="242" w:lineRule="auto"/>
              <w:ind w:left="62" w:right="42"/>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示意图及尺寸标注</w:t>
            </w:r>
          </w:p>
        </w:tc>
        <w:tc>
          <w:tcPr>
            <w:tcW w:w="562" w:type="dxa"/>
          </w:tcPr>
          <w:p>
            <w:pPr>
              <w:pStyle w:val="24"/>
              <w:spacing w:before="4"/>
              <w:rPr>
                <w:rFonts w:hint="default" w:ascii="Times New Roman" w:hAnsi="Times New Roman" w:eastAsia="仿宋" w:cs="Times New Roman"/>
                <w:color w:val="auto"/>
                <w:sz w:val="21"/>
              </w:rPr>
            </w:pPr>
          </w:p>
          <w:p>
            <w:pPr>
              <w:pStyle w:val="24"/>
              <w:spacing w:line="242" w:lineRule="auto"/>
              <w:ind w:left="69" w:right="53"/>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整治方式</w:t>
            </w:r>
          </w:p>
        </w:tc>
        <w:tc>
          <w:tcPr>
            <w:tcW w:w="562" w:type="dxa"/>
          </w:tcPr>
          <w:p>
            <w:pPr>
              <w:pStyle w:val="24"/>
              <w:spacing w:before="4"/>
              <w:rPr>
                <w:rFonts w:hint="default" w:ascii="Times New Roman" w:hAnsi="Times New Roman" w:eastAsia="仿宋" w:cs="Times New Roman"/>
                <w:color w:val="auto"/>
                <w:sz w:val="21"/>
              </w:rPr>
            </w:pPr>
          </w:p>
          <w:p>
            <w:pPr>
              <w:pStyle w:val="24"/>
              <w:spacing w:line="242" w:lineRule="auto"/>
              <w:ind w:left="68" w:right="53"/>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整治面积</w:t>
            </w:r>
          </w:p>
        </w:tc>
        <w:tc>
          <w:tcPr>
            <w:tcW w:w="1064" w:type="dxa"/>
          </w:tcPr>
          <w:p>
            <w:pPr>
              <w:pStyle w:val="24"/>
              <w:spacing w:before="4"/>
              <w:rPr>
                <w:rFonts w:hint="default" w:ascii="Times New Roman" w:hAnsi="Times New Roman" w:eastAsia="仿宋" w:cs="Times New Roman"/>
                <w:color w:val="auto"/>
                <w:sz w:val="21"/>
              </w:rPr>
            </w:pPr>
          </w:p>
          <w:p>
            <w:pPr>
              <w:pStyle w:val="24"/>
              <w:spacing w:line="242" w:lineRule="auto"/>
              <w:ind w:left="109" w:right="-15" w:hanging="106"/>
              <w:rPr>
                <w:rFonts w:hint="default" w:ascii="Times New Roman" w:hAnsi="Times New Roman" w:eastAsia="仿宋" w:cs="Times New Roman"/>
                <w:color w:val="auto"/>
                <w:sz w:val="21"/>
              </w:rPr>
            </w:pPr>
            <w:r>
              <w:rPr>
                <w:rFonts w:hint="default" w:ascii="Times New Roman" w:hAnsi="Times New Roman" w:eastAsia="仿宋" w:cs="Times New Roman"/>
                <w:color w:val="auto"/>
                <w:spacing w:val="-4"/>
                <w:sz w:val="21"/>
              </w:rPr>
              <w:t>整治后土地</w:t>
            </w:r>
            <w:r>
              <w:rPr>
                <w:rFonts w:hint="default" w:ascii="Times New Roman" w:hAnsi="Times New Roman" w:eastAsia="仿宋" w:cs="Times New Roman"/>
                <w:color w:val="auto"/>
                <w:spacing w:val="-1"/>
                <w:sz w:val="21"/>
              </w:rPr>
              <w:t>利用类型</w:t>
            </w:r>
          </w:p>
        </w:tc>
        <w:tc>
          <w:tcPr>
            <w:tcW w:w="966" w:type="dxa"/>
          </w:tcPr>
          <w:p>
            <w:pPr>
              <w:pStyle w:val="24"/>
              <w:spacing w:before="4"/>
              <w:rPr>
                <w:rFonts w:hint="default" w:ascii="Times New Roman" w:hAnsi="Times New Roman" w:eastAsia="仿宋" w:cs="Times New Roman"/>
                <w:color w:val="auto"/>
                <w:sz w:val="21"/>
              </w:rPr>
            </w:pPr>
          </w:p>
          <w:p>
            <w:pPr>
              <w:pStyle w:val="24"/>
              <w:spacing w:line="242" w:lineRule="auto"/>
              <w:ind w:left="60" w:right="4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示意图及尺寸标注</w:t>
            </w:r>
          </w:p>
        </w:tc>
        <w:tc>
          <w:tcPr>
            <w:tcW w:w="563" w:type="dxa"/>
            <w:vMerge w:val="continue"/>
            <w:tcBorders>
              <w:top w:val="nil"/>
            </w:tcBorders>
          </w:tcPr>
          <w:p>
            <w:pPr>
              <w:rPr>
                <w:rFonts w:hint="default" w:ascii="Times New Roman" w:hAnsi="Times New Roman" w:cs="Times New Roman"/>
                <w:color w:val="auto"/>
                <w:sz w:val="2"/>
                <w:szCs w:val="2"/>
              </w:rPr>
            </w:pPr>
          </w:p>
        </w:tc>
        <w:tc>
          <w:tcPr>
            <w:tcW w:w="460" w:type="dxa"/>
            <w:vMerge w:val="continue"/>
            <w:tcBorders>
              <w:top w:val="nil"/>
            </w:tcBorders>
          </w:tcPr>
          <w:p>
            <w:pPr>
              <w:rPr>
                <w:rFonts w:hint="default" w:ascii="Times New Roman" w:hAnsi="Times New Roman" w:cs="Times New Roman"/>
                <w:color w:val="auto"/>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504" w:type="dxa"/>
          </w:tcPr>
          <w:p>
            <w:pPr>
              <w:pStyle w:val="24"/>
              <w:spacing w:before="47"/>
              <w:ind w:left="9"/>
              <w:jc w:val="center"/>
              <w:rPr>
                <w:rFonts w:hint="default" w:ascii="Times New Roman" w:hAnsi="Times New Roman" w:cs="Times New Roman"/>
                <w:color w:val="auto"/>
                <w:sz w:val="21"/>
              </w:rPr>
            </w:pPr>
            <w:r>
              <w:rPr>
                <w:rFonts w:hint="default" w:ascii="Times New Roman" w:hAnsi="Times New Roman" w:cs="Times New Roman"/>
                <w:color w:val="auto"/>
                <w:w w:val="100"/>
                <w:sz w:val="21"/>
              </w:rPr>
              <w:t>1</w:t>
            </w:r>
          </w:p>
        </w:tc>
        <w:tc>
          <w:tcPr>
            <w:tcW w:w="360" w:type="dxa"/>
          </w:tcPr>
          <w:p>
            <w:pPr>
              <w:pStyle w:val="24"/>
              <w:rPr>
                <w:rFonts w:hint="default" w:ascii="Times New Roman" w:hAnsi="Times New Roman" w:cs="Times New Roman"/>
                <w:color w:val="auto"/>
                <w:sz w:val="22"/>
              </w:rPr>
            </w:pPr>
          </w:p>
        </w:tc>
        <w:tc>
          <w:tcPr>
            <w:tcW w:w="360" w:type="dxa"/>
          </w:tcPr>
          <w:p>
            <w:pPr>
              <w:pStyle w:val="24"/>
              <w:rPr>
                <w:rFonts w:hint="default" w:ascii="Times New Roman" w:hAnsi="Times New Roman" w:cs="Times New Roman"/>
                <w:color w:val="auto"/>
                <w:sz w:val="22"/>
              </w:rPr>
            </w:pPr>
          </w:p>
        </w:tc>
        <w:tc>
          <w:tcPr>
            <w:tcW w:w="360" w:type="dxa"/>
          </w:tcPr>
          <w:p>
            <w:pPr>
              <w:pStyle w:val="24"/>
              <w:rPr>
                <w:rFonts w:hint="default" w:ascii="Times New Roman" w:hAnsi="Times New Roman" w:cs="Times New Roman"/>
                <w:color w:val="auto"/>
                <w:sz w:val="22"/>
              </w:rPr>
            </w:pPr>
          </w:p>
        </w:tc>
        <w:tc>
          <w:tcPr>
            <w:tcW w:w="360" w:type="dxa"/>
          </w:tcPr>
          <w:p>
            <w:pPr>
              <w:pStyle w:val="24"/>
              <w:rPr>
                <w:rFonts w:hint="default" w:ascii="Times New Roman" w:hAnsi="Times New Roman" w:cs="Times New Roman"/>
                <w:color w:val="auto"/>
                <w:sz w:val="22"/>
              </w:rPr>
            </w:pPr>
          </w:p>
        </w:tc>
        <w:tc>
          <w:tcPr>
            <w:tcW w:w="360" w:type="dxa"/>
          </w:tcPr>
          <w:p>
            <w:pPr>
              <w:pStyle w:val="24"/>
              <w:rPr>
                <w:rFonts w:hint="default" w:ascii="Times New Roman" w:hAnsi="Times New Roman" w:cs="Times New Roman"/>
                <w:color w:val="auto"/>
                <w:sz w:val="22"/>
              </w:rPr>
            </w:pPr>
          </w:p>
        </w:tc>
        <w:tc>
          <w:tcPr>
            <w:tcW w:w="1063" w:type="dxa"/>
          </w:tcPr>
          <w:p>
            <w:pPr>
              <w:pStyle w:val="24"/>
              <w:rPr>
                <w:rFonts w:hint="default" w:ascii="Times New Roman" w:hAnsi="Times New Roman" w:cs="Times New Roman"/>
                <w:color w:val="auto"/>
                <w:sz w:val="22"/>
              </w:rPr>
            </w:pPr>
          </w:p>
        </w:tc>
        <w:tc>
          <w:tcPr>
            <w:tcW w:w="965" w:type="dxa"/>
          </w:tcPr>
          <w:p>
            <w:pPr>
              <w:pStyle w:val="24"/>
              <w:rPr>
                <w:rFonts w:hint="default" w:ascii="Times New Roman" w:hAnsi="Times New Roman" w:cs="Times New Roman"/>
                <w:color w:val="auto"/>
                <w:sz w:val="22"/>
              </w:rPr>
            </w:pPr>
          </w:p>
        </w:tc>
        <w:tc>
          <w:tcPr>
            <w:tcW w:w="562" w:type="dxa"/>
          </w:tcPr>
          <w:p>
            <w:pPr>
              <w:pStyle w:val="24"/>
              <w:rPr>
                <w:rFonts w:hint="default" w:ascii="Times New Roman" w:hAnsi="Times New Roman" w:cs="Times New Roman"/>
                <w:color w:val="auto"/>
                <w:sz w:val="22"/>
              </w:rPr>
            </w:pPr>
          </w:p>
        </w:tc>
        <w:tc>
          <w:tcPr>
            <w:tcW w:w="562" w:type="dxa"/>
          </w:tcPr>
          <w:p>
            <w:pPr>
              <w:pStyle w:val="24"/>
              <w:rPr>
                <w:rFonts w:hint="default" w:ascii="Times New Roman" w:hAnsi="Times New Roman" w:cs="Times New Roman"/>
                <w:color w:val="auto"/>
                <w:sz w:val="22"/>
              </w:rPr>
            </w:pPr>
          </w:p>
        </w:tc>
        <w:tc>
          <w:tcPr>
            <w:tcW w:w="1064" w:type="dxa"/>
          </w:tcPr>
          <w:p>
            <w:pPr>
              <w:pStyle w:val="24"/>
              <w:rPr>
                <w:rFonts w:hint="default" w:ascii="Times New Roman" w:hAnsi="Times New Roman" w:cs="Times New Roman"/>
                <w:color w:val="auto"/>
                <w:sz w:val="22"/>
              </w:rPr>
            </w:pPr>
          </w:p>
        </w:tc>
        <w:tc>
          <w:tcPr>
            <w:tcW w:w="966" w:type="dxa"/>
          </w:tcPr>
          <w:p>
            <w:pPr>
              <w:pStyle w:val="24"/>
              <w:rPr>
                <w:rFonts w:hint="default" w:ascii="Times New Roman" w:hAnsi="Times New Roman" w:cs="Times New Roman"/>
                <w:color w:val="auto"/>
                <w:sz w:val="22"/>
              </w:rPr>
            </w:pPr>
          </w:p>
        </w:tc>
        <w:tc>
          <w:tcPr>
            <w:tcW w:w="563" w:type="dxa"/>
          </w:tcPr>
          <w:p>
            <w:pPr>
              <w:pStyle w:val="24"/>
              <w:rPr>
                <w:rFonts w:hint="default" w:ascii="Times New Roman" w:hAnsi="Times New Roman" w:cs="Times New Roman"/>
                <w:color w:val="auto"/>
                <w:sz w:val="22"/>
              </w:rPr>
            </w:pPr>
          </w:p>
        </w:tc>
        <w:tc>
          <w:tcPr>
            <w:tcW w:w="460" w:type="dxa"/>
          </w:tcPr>
          <w:p>
            <w:pPr>
              <w:pStyle w:val="24"/>
              <w:rPr>
                <w:rFonts w:hint="default" w:ascii="Times New Roman" w:hAnsi="Times New Roman" w:cs="Times New Roman"/>
                <w:color w:val="auto"/>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6" w:hRule="atLeast"/>
        </w:trPr>
        <w:tc>
          <w:tcPr>
            <w:tcW w:w="504" w:type="dxa"/>
          </w:tcPr>
          <w:p>
            <w:pPr>
              <w:pStyle w:val="24"/>
              <w:spacing w:before="47"/>
              <w:ind w:left="21" w:right="7"/>
              <w:jc w:val="center"/>
              <w:rPr>
                <w:rFonts w:hint="default" w:ascii="Times New Roman" w:hAnsi="Times New Roman" w:cs="Times New Roman"/>
                <w:color w:val="auto"/>
                <w:sz w:val="21"/>
              </w:rPr>
            </w:pPr>
            <w:r>
              <w:rPr>
                <w:rFonts w:hint="default" w:ascii="Times New Roman" w:hAnsi="Times New Roman" w:cs="Times New Roman"/>
                <w:color w:val="auto"/>
                <w:sz w:val="21"/>
              </w:rPr>
              <w:t>……</w:t>
            </w:r>
          </w:p>
        </w:tc>
        <w:tc>
          <w:tcPr>
            <w:tcW w:w="360" w:type="dxa"/>
          </w:tcPr>
          <w:p>
            <w:pPr>
              <w:pStyle w:val="24"/>
              <w:rPr>
                <w:rFonts w:hint="default" w:ascii="Times New Roman" w:hAnsi="Times New Roman" w:cs="Times New Roman"/>
                <w:color w:val="auto"/>
                <w:sz w:val="22"/>
              </w:rPr>
            </w:pPr>
          </w:p>
        </w:tc>
        <w:tc>
          <w:tcPr>
            <w:tcW w:w="360" w:type="dxa"/>
          </w:tcPr>
          <w:p>
            <w:pPr>
              <w:pStyle w:val="24"/>
              <w:rPr>
                <w:rFonts w:hint="default" w:ascii="Times New Roman" w:hAnsi="Times New Roman" w:cs="Times New Roman"/>
                <w:color w:val="auto"/>
                <w:sz w:val="22"/>
              </w:rPr>
            </w:pPr>
          </w:p>
        </w:tc>
        <w:tc>
          <w:tcPr>
            <w:tcW w:w="360" w:type="dxa"/>
          </w:tcPr>
          <w:p>
            <w:pPr>
              <w:pStyle w:val="24"/>
              <w:rPr>
                <w:rFonts w:hint="default" w:ascii="Times New Roman" w:hAnsi="Times New Roman" w:cs="Times New Roman"/>
                <w:color w:val="auto"/>
                <w:sz w:val="22"/>
              </w:rPr>
            </w:pPr>
          </w:p>
        </w:tc>
        <w:tc>
          <w:tcPr>
            <w:tcW w:w="360" w:type="dxa"/>
          </w:tcPr>
          <w:p>
            <w:pPr>
              <w:pStyle w:val="24"/>
              <w:rPr>
                <w:rFonts w:hint="default" w:ascii="Times New Roman" w:hAnsi="Times New Roman" w:cs="Times New Roman"/>
                <w:color w:val="auto"/>
                <w:sz w:val="22"/>
              </w:rPr>
            </w:pPr>
          </w:p>
        </w:tc>
        <w:tc>
          <w:tcPr>
            <w:tcW w:w="360" w:type="dxa"/>
          </w:tcPr>
          <w:p>
            <w:pPr>
              <w:pStyle w:val="24"/>
              <w:rPr>
                <w:rFonts w:hint="default" w:ascii="Times New Roman" w:hAnsi="Times New Roman" w:cs="Times New Roman"/>
                <w:color w:val="auto"/>
                <w:sz w:val="22"/>
              </w:rPr>
            </w:pPr>
          </w:p>
        </w:tc>
        <w:tc>
          <w:tcPr>
            <w:tcW w:w="1063" w:type="dxa"/>
          </w:tcPr>
          <w:p>
            <w:pPr>
              <w:pStyle w:val="24"/>
              <w:rPr>
                <w:rFonts w:hint="default" w:ascii="Times New Roman" w:hAnsi="Times New Roman" w:cs="Times New Roman"/>
                <w:color w:val="auto"/>
                <w:sz w:val="22"/>
              </w:rPr>
            </w:pPr>
          </w:p>
        </w:tc>
        <w:tc>
          <w:tcPr>
            <w:tcW w:w="965" w:type="dxa"/>
          </w:tcPr>
          <w:p>
            <w:pPr>
              <w:pStyle w:val="24"/>
              <w:rPr>
                <w:rFonts w:hint="default" w:ascii="Times New Roman" w:hAnsi="Times New Roman" w:cs="Times New Roman"/>
                <w:color w:val="auto"/>
                <w:sz w:val="22"/>
              </w:rPr>
            </w:pPr>
          </w:p>
        </w:tc>
        <w:tc>
          <w:tcPr>
            <w:tcW w:w="562" w:type="dxa"/>
          </w:tcPr>
          <w:p>
            <w:pPr>
              <w:pStyle w:val="24"/>
              <w:rPr>
                <w:rFonts w:hint="default" w:ascii="Times New Roman" w:hAnsi="Times New Roman" w:cs="Times New Roman"/>
                <w:color w:val="auto"/>
                <w:sz w:val="22"/>
              </w:rPr>
            </w:pPr>
          </w:p>
        </w:tc>
        <w:tc>
          <w:tcPr>
            <w:tcW w:w="562" w:type="dxa"/>
          </w:tcPr>
          <w:p>
            <w:pPr>
              <w:pStyle w:val="24"/>
              <w:rPr>
                <w:rFonts w:hint="default" w:ascii="Times New Roman" w:hAnsi="Times New Roman" w:cs="Times New Roman"/>
                <w:color w:val="auto"/>
                <w:sz w:val="22"/>
              </w:rPr>
            </w:pPr>
          </w:p>
        </w:tc>
        <w:tc>
          <w:tcPr>
            <w:tcW w:w="1064" w:type="dxa"/>
          </w:tcPr>
          <w:p>
            <w:pPr>
              <w:pStyle w:val="24"/>
              <w:rPr>
                <w:rFonts w:hint="default" w:ascii="Times New Roman" w:hAnsi="Times New Roman" w:cs="Times New Roman"/>
                <w:color w:val="auto"/>
                <w:sz w:val="22"/>
              </w:rPr>
            </w:pPr>
          </w:p>
        </w:tc>
        <w:tc>
          <w:tcPr>
            <w:tcW w:w="966" w:type="dxa"/>
          </w:tcPr>
          <w:p>
            <w:pPr>
              <w:pStyle w:val="24"/>
              <w:rPr>
                <w:rFonts w:hint="default" w:ascii="Times New Roman" w:hAnsi="Times New Roman" w:cs="Times New Roman"/>
                <w:color w:val="auto"/>
                <w:sz w:val="22"/>
              </w:rPr>
            </w:pPr>
          </w:p>
        </w:tc>
        <w:tc>
          <w:tcPr>
            <w:tcW w:w="563" w:type="dxa"/>
          </w:tcPr>
          <w:p>
            <w:pPr>
              <w:pStyle w:val="24"/>
              <w:rPr>
                <w:rFonts w:hint="default" w:ascii="Times New Roman" w:hAnsi="Times New Roman" w:cs="Times New Roman"/>
                <w:color w:val="auto"/>
                <w:sz w:val="22"/>
              </w:rPr>
            </w:pPr>
          </w:p>
        </w:tc>
        <w:tc>
          <w:tcPr>
            <w:tcW w:w="460" w:type="dxa"/>
          </w:tcPr>
          <w:p>
            <w:pPr>
              <w:pStyle w:val="24"/>
              <w:rPr>
                <w:rFonts w:hint="default" w:ascii="Times New Roman" w:hAnsi="Times New Roman" w:cs="Times New Roman"/>
                <w:color w:val="auto"/>
                <w:sz w:val="22"/>
              </w:rPr>
            </w:pPr>
          </w:p>
        </w:tc>
      </w:tr>
    </w:tbl>
    <w:p>
      <w:pPr>
        <w:spacing w:before="43" w:line="324" w:lineRule="auto"/>
        <w:ind w:left="341" w:right="800" w:firstLine="0"/>
        <w:jc w:val="both"/>
        <w:rPr>
          <w:rFonts w:hint="default" w:ascii="Times New Roman" w:hAnsi="Times New Roman" w:cs="Times New Roman"/>
          <w:color w:val="auto"/>
          <w:sz w:val="18"/>
        </w:rPr>
      </w:pPr>
      <w:r>
        <w:rPr>
          <w:rFonts w:hint="default" w:ascii="Times New Roman" w:hAnsi="Times New Roman" w:cs="Times New Roman"/>
          <w:color w:val="auto"/>
          <w:sz w:val="18"/>
        </w:rPr>
        <w:t>填表说明：</w:t>
      </w:r>
      <w:r>
        <w:rPr>
          <w:rFonts w:hint="default" w:ascii="Times New Roman" w:hAnsi="Times New Roman" w:eastAsia="Times New Roman" w:cs="Times New Roman"/>
          <w:color w:val="auto"/>
          <w:sz w:val="18"/>
        </w:rPr>
        <w:t>1</w:t>
      </w:r>
      <w:r>
        <w:rPr>
          <w:rFonts w:hint="default" w:ascii="Times New Roman" w:hAnsi="Times New Roman" w:cs="Times New Roman"/>
          <w:color w:val="auto"/>
          <w:sz w:val="18"/>
        </w:rPr>
        <w:t>、扰动形式主要有填挖、占压；</w:t>
      </w:r>
      <w:r>
        <w:rPr>
          <w:rFonts w:hint="default" w:ascii="Times New Roman" w:hAnsi="Times New Roman" w:eastAsia="Times New Roman" w:cs="Times New Roman"/>
          <w:color w:val="auto"/>
          <w:sz w:val="18"/>
        </w:rPr>
        <w:t>2</w:t>
      </w:r>
      <w:r>
        <w:rPr>
          <w:rFonts w:hint="default" w:ascii="Times New Roman" w:hAnsi="Times New Roman" w:cs="Times New Roman"/>
          <w:color w:val="auto"/>
          <w:sz w:val="18"/>
        </w:rPr>
        <w:t>、土地利用类型按照</w:t>
      </w:r>
      <w:r>
        <w:rPr>
          <w:rFonts w:hint="default" w:ascii="Times New Roman" w:hAnsi="Times New Roman" w:eastAsia="Times New Roman" w:cs="Times New Roman"/>
          <w:color w:val="auto"/>
          <w:sz w:val="18"/>
        </w:rPr>
        <w:t xml:space="preserve">GB/T 21010-2007 </w:t>
      </w:r>
      <w:r>
        <w:rPr>
          <w:rFonts w:hint="default" w:ascii="Times New Roman" w:hAnsi="Times New Roman" w:cs="Times New Roman"/>
          <w:color w:val="auto"/>
          <w:sz w:val="18"/>
        </w:rPr>
        <w:t>一级分类填写，主要包括耕地、园地、林地、草地、交通运输用地等；</w:t>
      </w:r>
      <w:r>
        <w:rPr>
          <w:rFonts w:hint="default" w:ascii="Times New Roman" w:hAnsi="Times New Roman" w:eastAsia="Times New Roman" w:cs="Times New Roman"/>
          <w:color w:val="auto"/>
          <w:sz w:val="18"/>
        </w:rPr>
        <w:t>3</w:t>
      </w:r>
      <w:r>
        <w:rPr>
          <w:rFonts w:hint="default" w:ascii="Times New Roman" w:hAnsi="Times New Roman" w:cs="Times New Roman"/>
          <w:color w:val="auto"/>
          <w:sz w:val="18"/>
        </w:rPr>
        <w:t>、线性扰动填写扰动宽度及抽样段扰动面积；</w:t>
      </w:r>
      <w:r>
        <w:rPr>
          <w:rFonts w:hint="default" w:ascii="Times New Roman" w:hAnsi="Times New Roman" w:eastAsia="Times New Roman" w:cs="Times New Roman"/>
          <w:color w:val="auto"/>
          <w:sz w:val="18"/>
        </w:rPr>
        <w:t>4</w:t>
      </w:r>
      <w:r>
        <w:rPr>
          <w:rFonts w:hint="default" w:ascii="Times New Roman" w:hAnsi="Times New Roman" w:cs="Times New Roman"/>
          <w:color w:val="auto"/>
          <w:sz w:val="18"/>
        </w:rPr>
        <w:t>、整治方式主要有硬化、土地整治、植物措施等。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default" w:ascii="Times New Roman" w:hAnsi="Times New Roman" w:cs="Times New Roman"/>
          <w:color w:val="auto"/>
        </w:rPr>
      </w:pPr>
      <w:bookmarkStart w:id="56" w:name="_Toc9131"/>
      <w:bookmarkStart w:id="57" w:name="_Toc27203"/>
      <w:bookmarkStart w:id="58" w:name="_Toc28630"/>
      <w:r>
        <w:rPr>
          <w:rFonts w:hint="default" w:ascii="Times New Roman" w:hAnsi="Times New Roman" w:cs="Times New Roman"/>
          <w:color w:val="auto"/>
        </w:rPr>
        <w:t>2、临时堆土场监测</w:t>
      </w:r>
      <w:bookmarkEnd w:id="56"/>
      <w:bookmarkEnd w:id="57"/>
      <w:bookmarkEnd w:id="5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把临时堆土场堆积体近似看成长方体，利用高精度GPS或直接用皮尺测出其堆高、堆放占地面积，再计算求出其体积。临时堆土数据记录表格见表。</w:t>
      </w:r>
    </w:p>
    <w:p>
      <w:pPr>
        <w:tabs>
          <w:tab w:val="left" w:pos="3910"/>
        </w:tabs>
        <w:spacing w:before="1" w:after="5"/>
        <w:ind w:left="2688" w:right="0" w:firstLine="240" w:firstLineChars="100"/>
        <w:jc w:val="left"/>
        <w:rPr>
          <w:rFonts w:hint="default" w:ascii="Times New Roman" w:hAnsi="Times New Roman" w:cs="Times New Roman"/>
          <w:color w:val="auto"/>
          <w:sz w:val="24"/>
        </w:rPr>
      </w:pPr>
      <w:r>
        <w:rPr>
          <w:rFonts w:hint="default" w:ascii="Times New Roman" w:hAnsi="Times New Roman" w:cs="Times New Roman"/>
          <w:color w:val="auto"/>
          <w:sz w:val="24"/>
        </w:rPr>
        <w:t>临时堆放场监测记录表</w:t>
      </w:r>
    </w:p>
    <w:tbl>
      <w:tblPr>
        <w:tblStyle w:val="19"/>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540"/>
        <w:gridCol w:w="660"/>
        <w:gridCol w:w="1217"/>
        <w:gridCol w:w="1375"/>
        <w:gridCol w:w="1862"/>
        <w:gridCol w:w="1070"/>
        <w:gridCol w:w="1209"/>
        <w:gridCol w:w="609"/>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12" w:hRule="atLeast"/>
        </w:trPr>
        <w:tc>
          <w:tcPr>
            <w:tcW w:w="1200" w:type="dxa"/>
            <w:gridSpan w:val="2"/>
          </w:tcPr>
          <w:p>
            <w:pPr>
              <w:pStyle w:val="24"/>
              <w:spacing w:before="22"/>
              <w:ind w:left="179"/>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监测日期</w:t>
            </w:r>
          </w:p>
        </w:tc>
        <w:tc>
          <w:tcPr>
            <w:tcW w:w="1217" w:type="dxa"/>
          </w:tcPr>
          <w:p>
            <w:pPr>
              <w:pStyle w:val="24"/>
              <w:rPr>
                <w:rFonts w:hint="default" w:ascii="Times New Roman" w:hAnsi="Times New Roman" w:eastAsia="仿宋" w:cs="Times New Roman"/>
                <w:color w:val="auto"/>
                <w:sz w:val="22"/>
              </w:rPr>
            </w:pPr>
          </w:p>
        </w:tc>
        <w:tc>
          <w:tcPr>
            <w:tcW w:w="1375" w:type="dxa"/>
          </w:tcPr>
          <w:p>
            <w:pPr>
              <w:pStyle w:val="24"/>
              <w:spacing w:before="22"/>
              <w:ind w:left="26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堆积时间</w:t>
            </w:r>
          </w:p>
        </w:tc>
        <w:tc>
          <w:tcPr>
            <w:tcW w:w="1862" w:type="dxa"/>
          </w:tcPr>
          <w:p>
            <w:pPr>
              <w:pStyle w:val="24"/>
              <w:rPr>
                <w:rFonts w:hint="default" w:ascii="Times New Roman" w:hAnsi="Times New Roman" w:eastAsia="仿宋" w:cs="Times New Roman"/>
                <w:color w:val="auto"/>
                <w:sz w:val="22"/>
              </w:rPr>
            </w:pPr>
          </w:p>
        </w:tc>
        <w:tc>
          <w:tcPr>
            <w:tcW w:w="1070" w:type="dxa"/>
          </w:tcPr>
          <w:p>
            <w:pPr>
              <w:pStyle w:val="24"/>
              <w:spacing w:before="22"/>
              <w:ind w:left="11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监测分区</w:t>
            </w:r>
          </w:p>
        </w:tc>
        <w:tc>
          <w:tcPr>
            <w:tcW w:w="1818" w:type="dxa"/>
            <w:gridSpan w:val="2"/>
          </w:tcPr>
          <w:p>
            <w:pPr>
              <w:pStyle w:val="24"/>
              <w:rPr>
                <w:rFonts w:hint="default" w:ascii="Times New Roman" w:hAnsi="Times New Roman" w:eastAsia="仿宋" w:cs="Times New Roman"/>
                <w:color w:val="auto"/>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540" w:type="dxa"/>
            <w:vMerge w:val="restart"/>
          </w:tcPr>
          <w:p>
            <w:pPr>
              <w:pStyle w:val="24"/>
              <w:spacing w:before="21"/>
              <w:ind w:left="162"/>
              <w:rPr>
                <w:rFonts w:hint="default" w:ascii="Times New Roman" w:hAnsi="Times New Roman" w:eastAsia="仿宋" w:cs="Times New Roman"/>
                <w:color w:val="auto"/>
                <w:sz w:val="21"/>
              </w:rPr>
            </w:pPr>
            <w:r>
              <w:rPr>
                <w:rFonts w:hint="default" w:ascii="Times New Roman" w:hAnsi="Times New Roman" w:eastAsia="仿宋" w:cs="Times New Roman"/>
                <w:color w:val="auto"/>
                <w:w w:val="100"/>
                <w:sz w:val="21"/>
              </w:rPr>
              <w:t>位</w:t>
            </w:r>
          </w:p>
          <w:p>
            <w:pPr>
              <w:pStyle w:val="24"/>
              <w:spacing w:before="43" w:line="268" w:lineRule="exact"/>
              <w:ind w:left="162"/>
              <w:rPr>
                <w:rFonts w:hint="default" w:ascii="Times New Roman" w:hAnsi="Times New Roman" w:eastAsia="仿宋" w:cs="Times New Roman"/>
                <w:color w:val="auto"/>
                <w:sz w:val="21"/>
              </w:rPr>
            </w:pPr>
            <w:r>
              <w:rPr>
                <w:rFonts w:hint="default" w:ascii="Times New Roman" w:hAnsi="Times New Roman" w:eastAsia="仿宋" w:cs="Times New Roman"/>
                <w:color w:val="auto"/>
                <w:w w:val="100"/>
                <w:sz w:val="21"/>
              </w:rPr>
              <w:t>置</w:t>
            </w:r>
          </w:p>
        </w:tc>
        <w:tc>
          <w:tcPr>
            <w:tcW w:w="660" w:type="dxa"/>
          </w:tcPr>
          <w:p>
            <w:pPr>
              <w:pStyle w:val="24"/>
              <w:spacing w:line="251" w:lineRule="exact"/>
              <w:ind w:left="117"/>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经度</w:t>
            </w:r>
          </w:p>
        </w:tc>
        <w:tc>
          <w:tcPr>
            <w:tcW w:w="1217" w:type="dxa"/>
          </w:tcPr>
          <w:p>
            <w:pPr>
              <w:pStyle w:val="24"/>
              <w:rPr>
                <w:rFonts w:hint="default" w:ascii="Times New Roman" w:hAnsi="Times New Roman" w:eastAsia="仿宋" w:cs="Times New Roman"/>
                <w:color w:val="auto"/>
                <w:sz w:val="20"/>
              </w:rPr>
            </w:pPr>
          </w:p>
        </w:tc>
        <w:tc>
          <w:tcPr>
            <w:tcW w:w="1375" w:type="dxa"/>
            <w:vMerge w:val="restart"/>
          </w:tcPr>
          <w:p>
            <w:pPr>
              <w:pStyle w:val="24"/>
              <w:spacing w:before="175"/>
              <w:ind w:left="26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地貌类型</w:t>
            </w:r>
          </w:p>
        </w:tc>
        <w:tc>
          <w:tcPr>
            <w:tcW w:w="1862" w:type="dxa"/>
            <w:vMerge w:val="restart"/>
          </w:tcPr>
          <w:p>
            <w:pPr>
              <w:pStyle w:val="24"/>
              <w:rPr>
                <w:rFonts w:hint="default" w:ascii="Times New Roman" w:hAnsi="Times New Roman" w:eastAsia="仿宋" w:cs="Times New Roman"/>
                <w:color w:val="auto"/>
                <w:sz w:val="22"/>
              </w:rPr>
            </w:pPr>
          </w:p>
        </w:tc>
        <w:tc>
          <w:tcPr>
            <w:tcW w:w="1070" w:type="dxa"/>
            <w:vMerge w:val="restart"/>
          </w:tcPr>
          <w:p>
            <w:pPr>
              <w:pStyle w:val="24"/>
              <w:spacing w:before="175"/>
              <w:ind w:left="11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监测方法</w:t>
            </w:r>
          </w:p>
        </w:tc>
        <w:tc>
          <w:tcPr>
            <w:tcW w:w="1818" w:type="dxa"/>
            <w:gridSpan w:val="2"/>
            <w:vMerge w:val="restart"/>
          </w:tcPr>
          <w:p>
            <w:pPr>
              <w:pStyle w:val="24"/>
              <w:rPr>
                <w:rFonts w:hint="default" w:ascii="Times New Roman" w:hAnsi="Times New Roman" w:eastAsia="仿宋" w:cs="Times New Roman"/>
                <w:color w:val="auto"/>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540" w:type="dxa"/>
            <w:vMerge w:val="continue"/>
            <w:tcBorders>
              <w:top w:val="nil"/>
            </w:tcBorders>
          </w:tcPr>
          <w:p>
            <w:pPr>
              <w:rPr>
                <w:rFonts w:hint="default" w:ascii="Times New Roman" w:hAnsi="Times New Roman" w:eastAsia="仿宋" w:cs="Times New Roman"/>
                <w:color w:val="auto"/>
                <w:sz w:val="2"/>
                <w:szCs w:val="2"/>
              </w:rPr>
            </w:pPr>
          </w:p>
        </w:tc>
        <w:tc>
          <w:tcPr>
            <w:tcW w:w="660" w:type="dxa"/>
          </w:tcPr>
          <w:p>
            <w:pPr>
              <w:pStyle w:val="24"/>
              <w:rPr>
                <w:rFonts w:hint="default" w:ascii="Times New Roman" w:hAnsi="Times New Roman" w:eastAsia="仿宋" w:cs="Times New Roman"/>
                <w:color w:val="auto"/>
                <w:sz w:val="22"/>
              </w:rPr>
            </w:pPr>
          </w:p>
        </w:tc>
        <w:tc>
          <w:tcPr>
            <w:tcW w:w="1217" w:type="dxa"/>
          </w:tcPr>
          <w:p>
            <w:pPr>
              <w:pStyle w:val="24"/>
              <w:rPr>
                <w:rFonts w:hint="default" w:ascii="Times New Roman" w:hAnsi="Times New Roman" w:eastAsia="仿宋" w:cs="Times New Roman"/>
                <w:color w:val="auto"/>
                <w:sz w:val="22"/>
              </w:rPr>
            </w:pPr>
          </w:p>
        </w:tc>
        <w:tc>
          <w:tcPr>
            <w:tcW w:w="1375" w:type="dxa"/>
            <w:vMerge w:val="continue"/>
            <w:tcBorders>
              <w:top w:val="nil"/>
            </w:tcBorders>
          </w:tcPr>
          <w:p>
            <w:pPr>
              <w:rPr>
                <w:rFonts w:hint="default" w:ascii="Times New Roman" w:hAnsi="Times New Roman" w:eastAsia="仿宋" w:cs="Times New Roman"/>
                <w:color w:val="auto"/>
                <w:sz w:val="2"/>
                <w:szCs w:val="2"/>
              </w:rPr>
            </w:pPr>
          </w:p>
        </w:tc>
        <w:tc>
          <w:tcPr>
            <w:tcW w:w="1862" w:type="dxa"/>
            <w:vMerge w:val="continue"/>
            <w:tcBorders>
              <w:top w:val="nil"/>
            </w:tcBorders>
          </w:tcPr>
          <w:p>
            <w:pPr>
              <w:rPr>
                <w:rFonts w:hint="default" w:ascii="Times New Roman" w:hAnsi="Times New Roman" w:eastAsia="仿宋" w:cs="Times New Roman"/>
                <w:color w:val="auto"/>
                <w:sz w:val="2"/>
                <w:szCs w:val="2"/>
              </w:rPr>
            </w:pPr>
          </w:p>
        </w:tc>
        <w:tc>
          <w:tcPr>
            <w:tcW w:w="1070" w:type="dxa"/>
            <w:vMerge w:val="continue"/>
            <w:tcBorders>
              <w:top w:val="nil"/>
            </w:tcBorders>
          </w:tcPr>
          <w:p>
            <w:pPr>
              <w:rPr>
                <w:rFonts w:hint="default" w:ascii="Times New Roman" w:hAnsi="Times New Roman" w:eastAsia="仿宋" w:cs="Times New Roman"/>
                <w:color w:val="auto"/>
                <w:sz w:val="2"/>
                <w:szCs w:val="2"/>
              </w:rPr>
            </w:pPr>
          </w:p>
        </w:tc>
        <w:tc>
          <w:tcPr>
            <w:tcW w:w="1818" w:type="dxa"/>
            <w:gridSpan w:val="2"/>
            <w:vMerge w:val="continue"/>
            <w:tcBorders>
              <w:top w:val="nil"/>
            </w:tcBorders>
          </w:tcPr>
          <w:p>
            <w:pPr>
              <w:rPr>
                <w:rFonts w:hint="default" w:ascii="Times New Roman" w:hAnsi="Times New Roman" w:eastAsia="仿宋" w:cs="Times New Roman"/>
                <w:color w:val="auto"/>
                <w:sz w:val="2"/>
                <w:szCs w:val="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0" w:hRule="atLeast"/>
        </w:trPr>
        <w:tc>
          <w:tcPr>
            <w:tcW w:w="1200" w:type="dxa"/>
            <w:gridSpan w:val="2"/>
            <w:vMerge w:val="restart"/>
          </w:tcPr>
          <w:p>
            <w:pPr>
              <w:pStyle w:val="24"/>
              <w:spacing w:line="269" w:lineRule="exact"/>
              <w:ind w:left="282"/>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堆积物</w:t>
            </w:r>
          </w:p>
          <w:p>
            <w:pPr>
              <w:pStyle w:val="24"/>
              <w:spacing w:before="16" w:line="249" w:lineRule="exact"/>
              <w:ind w:left="388"/>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体积</w:t>
            </w:r>
          </w:p>
        </w:tc>
        <w:tc>
          <w:tcPr>
            <w:tcW w:w="1217" w:type="dxa"/>
          </w:tcPr>
          <w:p>
            <w:pPr>
              <w:pStyle w:val="24"/>
              <w:spacing w:line="251" w:lineRule="exact"/>
              <w:ind w:left="87" w:right="71"/>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长度（m）</w:t>
            </w:r>
          </w:p>
        </w:tc>
        <w:tc>
          <w:tcPr>
            <w:tcW w:w="1375" w:type="dxa"/>
          </w:tcPr>
          <w:p>
            <w:pPr>
              <w:pStyle w:val="24"/>
              <w:rPr>
                <w:rFonts w:hint="default" w:ascii="Times New Roman" w:hAnsi="Times New Roman" w:eastAsia="仿宋" w:cs="Times New Roman"/>
                <w:color w:val="auto"/>
                <w:sz w:val="20"/>
              </w:rPr>
            </w:pPr>
          </w:p>
        </w:tc>
        <w:tc>
          <w:tcPr>
            <w:tcW w:w="1862" w:type="dxa"/>
          </w:tcPr>
          <w:p>
            <w:pPr>
              <w:pStyle w:val="24"/>
              <w:spacing w:line="251" w:lineRule="exact"/>
              <w:ind w:left="387" w:right="370"/>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宽度（m）</w:t>
            </w:r>
          </w:p>
        </w:tc>
        <w:tc>
          <w:tcPr>
            <w:tcW w:w="1070" w:type="dxa"/>
          </w:tcPr>
          <w:p>
            <w:pPr>
              <w:pStyle w:val="24"/>
              <w:rPr>
                <w:rFonts w:hint="default" w:ascii="Times New Roman" w:hAnsi="Times New Roman" w:eastAsia="仿宋" w:cs="Times New Roman"/>
                <w:color w:val="auto"/>
                <w:sz w:val="20"/>
              </w:rPr>
            </w:pPr>
          </w:p>
        </w:tc>
        <w:tc>
          <w:tcPr>
            <w:tcW w:w="1209" w:type="dxa"/>
          </w:tcPr>
          <w:p>
            <w:pPr>
              <w:pStyle w:val="24"/>
              <w:spacing w:line="251" w:lineRule="exact"/>
              <w:ind w:left="108" w:right="-29"/>
              <w:rPr>
                <w:rFonts w:hint="default" w:ascii="Times New Roman" w:hAnsi="Times New Roman" w:eastAsia="仿宋" w:cs="Times New Roman"/>
                <w:color w:val="auto"/>
                <w:sz w:val="21"/>
              </w:rPr>
            </w:pPr>
            <w:r>
              <w:rPr>
                <w:rFonts w:hint="default" w:ascii="Times New Roman" w:hAnsi="Times New Roman" w:eastAsia="仿宋" w:cs="Times New Roman"/>
                <w:color w:val="auto"/>
                <w:spacing w:val="-6"/>
                <w:sz w:val="21"/>
              </w:rPr>
              <w:t>体积</w:t>
            </w:r>
            <w:r>
              <w:rPr>
                <w:rFonts w:hint="default" w:ascii="Times New Roman" w:hAnsi="Times New Roman" w:eastAsia="仿宋" w:cs="Times New Roman"/>
                <w:color w:val="auto"/>
                <w:sz w:val="21"/>
              </w:rPr>
              <w:t>（m3）</w:t>
            </w:r>
          </w:p>
        </w:tc>
        <w:tc>
          <w:tcPr>
            <w:tcW w:w="609" w:type="dxa"/>
          </w:tcPr>
          <w:p>
            <w:pPr>
              <w:pStyle w:val="24"/>
              <w:rPr>
                <w:rFonts w:hint="default" w:ascii="Times New Roman" w:hAnsi="Times New Roman" w:eastAsia="仿宋" w:cs="Times New Roman"/>
                <w:color w:val="auto"/>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8" w:hRule="atLeast"/>
        </w:trPr>
        <w:tc>
          <w:tcPr>
            <w:tcW w:w="1200" w:type="dxa"/>
            <w:gridSpan w:val="2"/>
            <w:vMerge w:val="continue"/>
            <w:tcBorders>
              <w:top w:val="nil"/>
            </w:tcBorders>
          </w:tcPr>
          <w:p>
            <w:pPr>
              <w:rPr>
                <w:rFonts w:hint="default" w:ascii="Times New Roman" w:hAnsi="Times New Roman" w:eastAsia="仿宋" w:cs="Times New Roman"/>
                <w:color w:val="auto"/>
                <w:sz w:val="2"/>
                <w:szCs w:val="2"/>
              </w:rPr>
            </w:pPr>
          </w:p>
        </w:tc>
        <w:tc>
          <w:tcPr>
            <w:tcW w:w="1217" w:type="dxa"/>
          </w:tcPr>
          <w:p>
            <w:pPr>
              <w:pStyle w:val="24"/>
              <w:spacing w:line="248" w:lineRule="exact"/>
              <w:ind w:left="87" w:right="71"/>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高度（m）</w:t>
            </w:r>
          </w:p>
        </w:tc>
        <w:tc>
          <w:tcPr>
            <w:tcW w:w="1375" w:type="dxa"/>
          </w:tcPr>
          <w:p>
            <w:pPr>
              <w:pStyle w:val="24"/>
              <w:rPr>
                <w:rFonts w:hint="default" w:ascii="Times New Roman" w:hAnsi="Times New Roman" w:eastAsia="仿宋" w:cs="Times New Roman"/>
                <w:color w:val="auto"/>
                <w:sz w:val="18"/>
              </w:rPr>
            </w:pPr>
          </w:p>
        </w:tc>
        <w:tc>
          <w:tcPr>
            <w:tcW w:w="1862" w:type="dxa"/>
          </w:tcPr>
          <w:p>
            <w:pPr>
              <w:pStyle w:val="24"/>
              <w:spacing w:line="248" w:lineRule="exact"/>
              <w:ind w:left="387" w:right="370"/>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坡度（度）</w:t>
            </w:r>
          </w:p>
        </w:tc>
        <w:tc>
          <w:tcPr>
            <w:tcW w:w="1070" w:type="dxa"/>
          </w:tcPr>
          <w:p>
            <w:pPr>
              <w:pStyle w:val="24"/>
              <w:rPr>
                <w:rFonts w:hint="default" w:ascii="Times New Roman" w:hAnsi="Times New Roman" w:eastAsia="仿宋" w:cs="Times New Roman"/>
                <w:color w:val="auto"/>
                <w:sz w:val="18"/>
              </w:rPr>
            </w:pPr>
          </w:p>
        </w:tc>
        <w:tc>
          <w:tcPr>
            <w:tcW w:w="1209" w:type="dxa"/>
          </w:tcPr>
          <w:p>
            <w:pPr>
              <w:pStyle w:val="24"/>
              <w:spacing w:line="248" w:lineRule="exact"/>
              <w:ind w:left="108"/>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坡长（m）</w:t>
            </w:r>
          </w:p>
        </w:tc>
        <w:tc>
          <w:tcPr>
            <w:tcW w:w="609" w:type="dxa"/>
          </w:tcPr>
          <w:p>
            <w:pPr>
              <w:pStyle w:val="24"/>
              <w:rPr>
                <w:rFonts w:hint="default" w:ascii="Times New Roman" w:hAnsi="Times New Roman" w:eastAsia="仿宋" w:cs="Times New Roman"/>
                <w:color w:val="auto"/>
                <w:sz w:val="18"/>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1200" w:type="dxa"/>
            <w:gridSpan w:val="2"/>
          </w:tcPr>
          <w:p>
            <w:pPr>
              <w:pStyle w:val="24"/>
              <w:spacing w:line="269" w:lineRule="exact"/>
              <w:ind w:left="108" w:right="92"/>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堆积物 类</w:t>
            </w:r>
          </w:p>
          <w:p>
            <w:pPr>
              <w:pStyle w:val="24"/>
              <w:spacing w:before="4" w:line="249" w:lineRule="exact"/>
              <w:ind w:left="14"/>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w w:val="100"/>
                <w:sz w:val="21"/>
              </w:rPr>
              <w:t>型</w:t>
            </w:r>
          </w:p>
        </w:tc>
        <w:tc>
          <w:tcPr>
            <w:tcW w:w="2592" w:type="dxa"/>
            <w:gridSpan w:val="2"/>
          </w:tcPr>
          <w:p>
            <w:pPr>
              <w:pStyle w:val="24"/>
              <w:spacing w:before="136"/>
              <w:ind w:left="347"/>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土、石、土石混合等</w:t>
            </w:r>
          </w:p>
        </w:tc>
        <w:tc>
          <w:tcPr>
            <w:tcW w:w="1862" w:type="dxa"/>
          </w:tcPr>
          <w:p>
            <w:pPr>
              <w:pStyle w:val="24"/>
              <w:spacing w:before="136"/>
              <w:ind w:left="387" w:right="370"/>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防治情况</w:t>
            </w:r>
          </w:p>
        </w:tc>
        <w:tc>
          <w:tcPr>
            <w:tcW w:w="2888" w:type="dxa"/>
            <w:gridSpan w:val="3"/>
          </w:tcPr>
          <w:p>
            <w:pPr>
              <w:pStyle w:val="24"/>
              <w:spacing w:before="136"/>
              <w:ind w:left="393"/>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临时苫盖、临时挡护等</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92" w:hRule="atLeast"/>
        </w:trPr>
        <w:tc>
          <w:tcPr>
            <w:tcW w:w="1200" w:type="dxa"/>
            <w:gridSpan w:val="2"/>
          </w:tcPr>
          <w:p>
            <w:pPr>
              <w:pStyle w:val="24"/>
              <w:spacing w:before="11" w:line="261" w:lineRule="exact"/>
              <w:ind w:left="282"/>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示意图</w:t>
            </w:r>
          </w:p>
        </w:tc>
        <w:tc>
          <w:tcPr>
            <w:tcW w:w="7342" w:type="dxa"/>
            <w:gridSpan w:val="6"/>
          </w:tcPr>
          <w:p>
            <w:pPr>
              <w:pStyle w:val="24"/>
              <w:rPr>
                <w:rFonts w:hint="default" w:ascii="Times New Roman" w:hAnsi="Times New Roman" w:eastAsia="仿宋" w:cs="Times New Roman"/>
                <w:color w:val="auto"/>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20" w:hRule="atLeast"/>
        </w:trPr>
        <w:tc>
          <w:tcPr>
            <w:tcW w:w="1200" w:type="dxa"/>
            <w:gridSpan w:val="2"/>
          </w:tcPr>
          <w:p>
            <w:pPr>
              <w:pStyle w:val="24"/>
              <w:spacing w:before="26"/>
              <w:ind w:left="388"/>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备注</w:t>
            </w:r>
          </w:p>
        </w:tc>
        <w:tc>
          <w:tcPr>
            <w:tcW w:w="7342" w:type="dxa"/>
            <w:gridSpan w:val="6"/>
          </w:tcPr>
          <w:p>
            <w:pPr>
              <w:pStyle w:val="24"/>
              <w:rPr>
                <w:rFonts w:hint="default" w:ascii="Times New Roman" w:hAnsi="Times New Roman" w:eastAsia="仿宋" w:cs="Times New Roman"/>
                <w:color w:val="auto"/>
                <w:sz w:val="22"/>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default" w:ascii="Times New Roman" w:hAnsi="Times New Roman" w:cs="Times New Roman"/>
          <w:color w:val="auto"/>
        </w:rPr>
      </w:pPr>
      <w:bookmarkStart w:id="59" w:name="_Toc29913"/>
      <w:bookmarkStart w:id="60" w:name="_Toc17058"/>
      <w:bookmarkStart w:id="61" w:name="_Toc20505"/>
      <w:r>
        <w:rPr>
          <w:rFonts w:hint="default" w:ascii="Times New Roman" w:hAnsi="Times New Roman" w:cs="Times New Roman"/>
          <w:color w:val="auto"/>
        </w:rPr>
        <w:t>3、防护措施监测</w:t>
      </w:r>
      <w:bookmarkEnd w:id="59"/>
      <w:bookmarkEnd w:id="60"/>
      <w:bookmarkEnd w:id="6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先对照水土保持方案报批稿与施工设计图纸，核实水土保持方案中的各项措施是否在施工图设计中落实到位，尤其是临时排水、沉沙措施的工程量。然后对照主体工程监理对水土保持工程量（根据方案报批稿界定结果，挡土墙、截排水沟、沉砂池、护坡等属于水土保持工程）的统计，核实各项水土保持工程是否实施到位。现场调查各类措施实施情况，并分析水土保持防治效果和水土保持工程设施的稳定性，如有问题应提出书面改进意见。工程措施和临时防护措施数据记录表格见表4.1-3~表4.1-4</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rPr>
        <w:sectPr>
          <w:headerReference r:id="rId9" w:type="default"/>
          <w:pgSz w:w="11910" w:h="16840"/>
          <w:pgMar w:top="1440" w:right="1440" w:bottom="1440" w:left="1440" w:header="888" w:footer="994" w:gutter="0"/>
          <w:pgNumType w:fmt="decimal"/>
          <w:cols w:space="720" w:num="1"/>
        </w:sectPr>
      </w:pPr>
    </w:p>
    <w:p>
      <w:pPr>
        <w:bidi w:val="0"/>
        <w:rPr>
          <w:rFonts w:hint="default" w:ascii="Times New Roman" w:hAnsi="Times New Roman" w:cs="Times New Roman"/>
          <w:color w:val="auto"/>
        </w:rPr>
      </w:pPr>
    </w:p>
    <w:p>
      <w:pPr>
        <w:tabs>
          <w:tab w:val="left" w:pos="4027"/>
        </w:tabs>
        <w:spacing w:before="13" w:after="17"/>
        <w:ind w:left="2806" w:right="0" w:firstLine="0"/>
        <w:jc w:val="left"/>
        <w:rPr>
          <w:rFonts w:hint="default" w:ascii="Times New Roman" w:hAnsi="Times New Roman" w:eastAsia="仿宋" w:cs="Times New Roman"/>
          <w:color w:val="auto"/>
          <w:sz w:val="24"/>
        </w:rPr>
      </w:pPr>
      <w:r>
        <w:rPr>
          <w:rFonts w:hint="default" w:ascii="Times New Roman" w:hAnsi="Times New Roman" w:cs="Times New Roman"/>
          <w:color w:val="auto"/>
          <w:sz w:val="24"/>
        </w:rPr>
        <w:t>表</w:t>
      </w:r>
      <w:r>
        <w:rPr>
          <w:rFonts w:hint="default" w:ascii="Times New Roman" w:hAnsi="Times New Roman" w:eastAsia="Times New Roman" w:cs="Times New Roman"/>
          <w:b/>
          <w:color w:val="auto"/>
          <w:sz w:val="24"/>
        </w:rPr>
        <w:t>4.1-3</w:t>
      </w:r>
      <w:r>
        <w:rPr>
          <w:rFonts w:hint="default" w:ascii="Times New Roman" w:hAnsi="Times New Roman" w:eastAsia="Times New Roman" w:cs="Times New Roman"/>
          <w:b/>
          <w:color w:val="auto"/>
          <w:sz w:val="24"/>
        </w:rPr>
        <w:tab/>
      </w:r>
      <w:r>
        <w:rPr>
          <w:rFonts w:hint="default" w:ascii="Times New Roman" w:hAnsi="Times New Roman" w:eastAsia="仿宋" w:cs="Times New Roman"/>
          <w:color w:val="auto"/>
          <w:sz w:val="24"/>
        </w:rPr>
        <w:t>工程措施监测记录表</w:t>
      </w:r>
    </w:p>
    <w:tbl>
      <w:tblPr>
        <w:tblStyle w:val="19"/>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94"/>
        <w:gridCol w:w="684"/>
        <w:gridCol w:w="638"/>
        <w:gridCol w:w="720"/>
        <w:gridCol w:w="794"/>
        <w:gridCol w:w="708"/>
        <w:gridCol w:w="694"/>
        <w:gridCol w:w="677"/>
        <w:gridCol w:w="579"/>
        <w:gridCol w:w="706"/>
        <w:gridCol w:w="761"/>
        <w:gridCol w:w="88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4" w:hRule="atLeast"/>
        </w:trPr>
        <w:tc>
          <w:tcPr>
            <w:tcW w:w="694" w:type="dxa"/>
          </w:tcPr>
          <w:p>
            <w:pPr>
              <w:pStyle w:val="24"/>
              <w:spacing w:before="3"/>
              <w:rPr>
                <w:rFonts w:hint="default" w:ascii="Times New Roman" w:hAnsi="Times New Roman" w:eastAsia="仿宋" w:cs="Times New Roman"/>
                <w:color w:val="auto"/>
                <w:sz w:val="21"/>
              </w:rPr>
            </w:pPr>
          </w:p>
          <w:p>
            <w:pPr>
              <w:pStyle w:val="24"/>
              <w:ind w:left="115" w:right="104"/>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编号</w:t>
            </w:r>
          </w:p>
        </w:tc>
        <w:tc>
          <w:tcPr>
            <w:tcW w:w="684" w:type="dxa"/>
          </w:tcPr>
          <w:p>
            <w:pPr>
              <w:pStyle w:val="24"/>
              <w:spacing w:before="137" w:line="242" w:lineRule="auto"/>
              <w:ind w:left="128" w:right="113" w:firstLine="2"/>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监测日期</w:t>
            </w:r>
          </w:p>
        </w:tc>
        <w:tc>
          <w:tcPr>
            <w:tcW w:w="638" w:type="dxa"/>
          </w:tcPr>
          <w:p>
            <w:pPr>
              <w:pStyle w:val="24"/>
              <w:spacing w:before="1" w:line="242" w:lineRule="auto"/>
              <w:ind w:left="109" w:right="88"/>
              <w:rPr>
                <w:rFonts w:hint="default" w:ascii="Times New Roman" w:hAnsi="Times New Roman" w:eastAsia="仿宋" w:cs="Times New Roman"/>
                <w:color w:val="auto"/>
                <w:sz w:val="21"/>
              </w:rPr>
            </w:pPr>
            <w:r>
              <w:rPr>
                <w:rFonts w:hint="default" w:ascii="Times New Roman" w:hAnsi="Times New Roman" w:eastAsia="仿宋" w:cs="Times New Roman"/>
                <w:color w:val="auto"/>
                <w:spacing w:val="-9"/>
                <w:sz w:val="21"/>
              </w:rPr>
              <w:t>位置经度</w:t>
            </w:r>
          </w:p>
          <w:p>
            <w:pPr>
              <w:pStyle w:val="24"/>
              <w:spacing w:before="1" w:line="249" w:lineRule="exact"/>
              <w:ind w:left="109"/>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纬度</w:t>
            </w:r>
          </w:p>
        </w:tc>
        <w:tc>
          <w:tcPr>
            <w:tcW w:w="720" w:type="dxa"/>
          </w:tcPr>
          <w:p>
            <w:pPr>
              <w:pStyle w:val="24"/>
              <w:spacing w:before="137" w:line="242" w:lineRule="auto"/>
              <w:ind w:left="148" w:right="132"/>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监测分区</w:t>
            </w:r>
          </w:p>
        </w:tc>
        <w:tc>
          <w:tcPr>
            <w:tcW w:w="794" w:type="dxa"/>
          </w:tcPr>
          <w:p>
            <w:pPr>
              <w:pStyle w:val="24"/>
              <w:spacing w:before="137" w:line="242" w:lineRule="auto"/>
              <w:ind w:left="184" w:right="17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措施类型</w:t>
            </w:r>
          </w:p>
        </w:tc>
        <w:tc>
          <w:tcPr>
            <w:tcW w:w="708" w:type="dxa"/>
          </w:tcPr>
          <w:p>
            <w:pPr>
              <w:pStyle w:val="24"/>
              <w:spacing w:before="137" w:line="242" w:lineRule="auto"/>
              <w:ind w:left="144" w:right="124"/>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开工日期</w:t>
            </w:r>
          </w:p>
        </w:tc>
        <w:tc>
          <w:tcPr>
            <w:tcW w:w="694" w:type="dxa"/>
          </w:tcPr>
          <w:p>
            <w:pPr>
              <w:pStyle w:val="24"/>
              <w:spacing w:before="137" w:line="242" w:lineRule="auto"/>
              <w:ind w:left="136" w:right="117"/>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完成日期</w:t>
            </w:r>
          </w:p>
        </w:tc>
        <w:tc>
          <w:tcPr>
            <w:tcW w:w="677" w:type="dxa"/>
          </w:tcPr>
          <w:p>
            <w:pPr>
              <w:pStyle w:val="24"/>
              <w:spacing w:before="137" w:line="242" w:lineRule="auto"/>
              <w:ind w:left="126" w:right="11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规格尺寸</w:t>
            </w:r>
          </w:p>
        </w:tc>
        <w:tc>
          <w:tcPr>
            <w:tcW w:w="579" w:type="dxa"/>
          </w:tcPr>
          <w:p>
            <w:pPr>
              <w:pStyle w:val="24"/>
              <w:spacing w:before="137" w:line="242" w:lineRule="auto"/>
              <w:ind w:left="181" w:right="168"/>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数量</w:t>
            </w:r>
          </w:p>
        </w:tc>
        <w:tc>
          <w:tcPr>
            <w:tcW w:w="706" w:type="dxa"/>
          </w:tcPr>
          <w:p>
            <w:pPr>
              <w:pStyle w:val="24"/>
              <w:spacing w:before="137" w:line="242" w:lineRule="auto"/>
              <w:ind w:left="140" w:right="126"/>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运行状况</w:t>
            </w:r>
          </w:p>
        </w:tc>
        <w:tc>
          <w:tcPr>
            <w:tcW w:w="761" w:type="dxa"/>
          </w:tcPr>
          <w:p>
            <w:pPr>
              <w:pStyle w:val="24"/>
              <w:spacing w:before="137" w:line="242" w:lineRule="auto"/>
              <w:ind w:left="166" w:right="15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防治效果</w:t>
            </w:r>
          </w:p>
        </w:tc>
        <w:tc>
          <w:tcPr>
            <w:tcW w:w="886" w:type="dxa"/>
          </w:tcPr>
          <w:p>
            <w:pPr>
              <w:pStyle w:val="24"/>
              <w:spacing w:before="137" w:line="242" w:lineRule="auto"/>
              <w:ind w:left="228" w:right="109" w:hanging="104"/>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694" w:type="dxa"/>
          </w:tcPr>
          <w:p>
            <w:pPr>
              <w:pStyle w:val="24"/>
              <w:spacing w:before="49"/>
              <w:ind w:left="11"/>
              <w:jc w:val="center"/>
              <w:rPr>
                <w:rFonts w:hint="default" w:ascii="Times New Roman" w:hAnsi="Times New Roman" w:cs="Times New Roman"/>
                <w:color w:val="auto"/>
                <w:sz w:val="21"/>
              </w:rPr>
            </w:pPr>
            <w:r>
              <w:rPr>
                <w:rFonts w:hint="default" w:ascii="Times New Roman" w:hAnsi="Times New Roman" w:cs="Times New Roman"/>
                <w:color w:val="auto"/>
                <w:w w:val="100"/>
                <w:sz w:val="21"/>
              </w:rPr>
              <w:t>1</w:t>
            </w:r>
          </w:p>
        </w:tc>
        <w:tc>
          <w:tcPr>
            <w:tcW w:w="684" w:type="dxa"/>
          </w:tcPr>
          <w:p>
            <w:pPr>
              <w:pStyle w:val="24"/>
              <w:rPr>
                <w:rFonts w:hint="default" w:ascii="Times New Roman" w:hAnsi="Times New Roman" w:cs="Times New Roman"/>
                <w:color w:val="auto"/>
                <w:sz w:val="22"/>
              </w:rPr>
            </w:pPr>
          </w:p>
        </w:tc>
        <w:tc>
          <w:tcPr>
            <w:tcW w:w="638" w:type="dxa"/>
          </w:tcPr>
          <w:p>
            <w:pPr>
              <w:pStyle w:val="24"/>
              <w:rPr>
                <w:rFonts w:hint="default" w:ascii="Times New Roman" w:hAnsi="Times New Roman" w:cs="Times New Roman"/>
                <w:color w:val="auto"/>
                <w:sz w:val="22"/>
              </w:rPr>
            </w:pPr>
          </w:p>
        </w:tc>
        <w:tc>
          <w:tcPr>
            <w:tcW w:w="720" w:type="dxa"/>
          </w:tcPr>
          <w:p>
            <w:pPr>
              <w:pStyle w:val="24"/>
              <w:rPr>
                <w:rFonts w:hint="default" w:ascii="Times New Roman" w:hAnsi="Times New Roman" w:cs="Times New Roman"/>
                <w:color w:val="auto"/>
                <w:sz w:val="22"/>
              </w:rPr>
            </w:pPr>
          </w:p>
        </w:tc>
        <w:tc>
          <w:tcPr>
            <w:tcW w:w="794" w:type="dxa"/>
          </w:tcPr>
          <w:p>
            <w:pPr>
              <w:pStyle w:val="24"/>
              <w:rPr>
                <w:rFonts w:hint="default" w:ascii="Times New Roman" w:hAnsi="Times New Roman" w:cs="Times New Roman"/>
                <w:color w:val="auto"/>
                <w:sz w:val="22"/>
              </w:rPr>
            </w:pPr>
          </w:p>
        </w:tc>
        <w:tc>
          <w:tcPr>
            <w:tcW w:w="708" w:type="dxa"/>
          </w:tcPr>
          <w:p>
            <w:pPr>
              <w:pStyle w:val="24"/>
              <w:rPr>
                <w:rFonts w:hint="default" w:ascii="Times New Roman" w:hAnsi="Times New Roman" w:cs="Times New Roman"/>
                <w:color w:val="auto"/>
                <w:sz w:val="22"/>
              </w:rPr>
            </w:pPr>
          </w:p>
        </w:tc>
        <w:tc>
          <w:tcPr>
            <w:tcW w:w="694" w:type="dxa"/>
          </w:tcPr>
          <w:p>
            <w:pPr>
              <w:pStyle w:val="24"/>
              <w:rPr>
                <w:rFonts w:hint="default" w:ascii="Times New Roman" w:hAnsi="Times New Roman" w:cs="Times New Roman"/>
                <w:color w:val="auto"/>
                <w:sz w:val="22"/>
              </w:rPr>
            </w:pPr>
          </w:p>
        </w:tc>
        <w:tc>
          <w:tcPr>
            <w:tcW w:w="677" w:type="dxa"/>
          </w:tcPr>
          <w:p>
            <w:pPr>
              <w:pStyle w:val="24"/>
              <w:rPr>
                <w:rFonts w:hint="default" w:ascii="Times New Roman" w:hAnsi="Times New Roman" w:cs="Times New Roman"/>
                <w:color w:val="auto"/>
                <w:sz w:val="22"/>
              </w:rPr>
            </w:pPr>
          </w:p>
        </w:tc>
        <w:tc>
          <w:tcPr>
            <w:tcW w:w="579" w:type="dxa"/>
          </w:tcPr>
          <w:p>
            <w:pPr>
              <w:pStyle w:val="24"/>
              <w:rPr>
                <w:rFonts w:hint="default" w:ascii="Times New Roman" w:hAnsi="Times New Roman" w:cs="Times New Roman"/>
                <w:color w:val="auto"/>
                <w:sz w:val="22"/>
              </w:rPr>
            </w:pPr>
          </w:p>
        </w:tc>
        <w:tc>
          <w:tcPr>
            <w:tcW w:w="706" w:type="dxa"/>
          </w:tcPr>
          <w:p>
            <w:pPr>
              <w:pStyle w:val="24"/>
              <w:rPr>
                <w:rFonts w:hint="default" w:ascii="Times New Roman" w:hAnsi="Times New Roman" w:cs="Times New Roman"/>
                <w:color w:val="auto"/>
                <w:sz w:val="22"/>
              </w:rPr>
            </w:pPr>
          </w:p>
        </w:tc>
        <w:tc>
          <w:tcPr>
            <w:tcW w:w="761" w:type="dxa"/>
          </w:tcPr>
          <w:p>
            <w:pPr>
              <w:pStyle w:val="24"/>
              <w:rPr>
                <w:rFonts w:hint="default" w:ascii="Times New Roman" w:hAnsi="Times New Roman" w:cs="Times New Roman"/>
                <w:color w:val="auto"/>
                <w:sz w:val="22"/>
              </w:rPr>
            </w:pPr>
          </w:p>
        </w:tc>
        <w:tc>
          <w:tcPr>
            <w:tcW w:w="886" w:type="dxa"/>
          </w:tcPr>
          <w:p>
            <w:pPr>
              <w:pStyle w:val="24"/>
              <w:rPr>
                <w:rFonts w:hint="default" w:ascii="Times New Roman" w:hAnsi="Times New Roman" w:cs="Times New Roman"/>
                <w:color w:val="auto"/>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694" w:type="dxa"/>
          </w:tcPr>
          <w:p>
            <w:pPr>
              <w:pStyle w:val="24"/>
              <w:spacing w:before="47"/>
              <w:ind w:left="115" w:right="104"/>
              <w:jc w:val="center"/>
              <w:rPr>
                <w:rFonts w:hint="default" w:ascii="Times New Roman" w:hAnsi="Times New Roman" w:cs="Times New Roman"/>
                <w:color w:val="auto"/>
                <w:sz w:val="21"/>
              </w:rPr>
            </w:pPr>
            <w:r>
              <w:rPr>
                <w:rFonts w:hint="default" w:ascii="Times New Roman" w:hAnsi="Times New Roman" w:cs="Times New Roman"/>
                <w:color w:val="auto"/>
                <w:sz w:val="21"/>
              </w:rPr>
              <w:t>……</w:t>
            </w:r>
          </w:p>
        </w:tc>
        <w:tc>
          <w:tcPr>
            <w:tcW w:w="684" w:type="dxa"/>
          </w:tcPr>
          <w:p>
            <w:pPr>
              <w:pStyle w:val="24"/>
              <w:rPr>
                <w:rFonts w:hint="default" w:ascii="Times New Roman" w:hAnsi="Times New Roman" w:cs="Times New Roman"/>
                <w:color w:val="auto"/>
                <w:sz w:val="22"/>
              </w:rPr>
            </w:pPr>
          </w:p>
        </w:tc>
        <w:tc>
          <w:tcPr>
            <w:tcW w:w="638" w:type="dxa"/>
          </w:tcPr>
          <w:p>
            <w:pPr>
              <w:pStyle w:val="24"/>
              <w:rPr>
                <w:rFonts w:hint="default" w:ascii="Times New Roman" w:hAnsi="Times New Roman" w:cs="Times New Roman"/>
                <w:color w:val="auto"/>
                <w:sz w:val="22"/>
              </w:rPr>
            </w:pPr>
          </w:p>
        </w:tc>
        <w:tc>
          <w:tcPr>
            <w:tcW w:w="720" w:type="dxa"/>
          </w:tcPr>
          <w:p>
            <w:pPr>
              <w:pStyle w:val="24"/>
              <w:rPr>
                <w:rFonts w:hint="default" w:ascii="Times New Roman" w:hAnsi="Times New Roman" w:cs="Times New Roman"/>
                <w:color w:val="auto"/>
                <w:sz w:val="22"/>
              </w:rPr>
            </w:pPr>
          </w:p>
        </w:tc>
        <w:tc>
          <w:tcPr>
            <w:tcW w:w="794" w:type="dxa"/>
          </w:tcPr>
          <w:p>
            <w:pPr>
              <w:pStyle w:val="24"/>
              <w:rPr>
                <w:rFonts w:hint="default" w:ascii="Times New Roman" w:hAnsi="Times New Roman" w:cs="Times New Roman"/>
                <w:color w:val="auto"/>
                <w:sz w:val="22"/>
              </w:rPr>
            </w:pPr>
          </w:p>
        </w:tc>
        <w:tc>
          <w:tcPr>
            <w:tcW w:w="708" w:type="dxa"/>
          </w:tcPr>
          <w:p>
            <w:pPr>
              <w:pStyle w:val="24"/>
              <w:rPr>
                <w:rFonts w:hint="default" w:ascii="Times New Roman" w:hAnsi="Times New Roman" w:cs="Times New Roman"/>
                <w:color w:val="auto"/>
                <w:sz w:val="22"/>
              </w:rPr>
            </w:pPr>
          </w:p>
        </w:tc>
        <w:tc>
          <w:tcPr>
            <w:tcW w:w="694" w:type="dxa"/>
          </w:tcPr>
          <w:p>
            <w:pPr>
              <w:pStyle w:val="24"/>
              <w:rPr>
                <w:rFonts w:hint="default" w:ascii="Times New Roman" w:hAnsi="Times New Roman" w:cs="Times New Roman"/>
                <w:color w:val="auto"/>
                <w:sz w:val="22"/>
              </w:rPr>
            </w:pPr>
          </w:p>
        </w:tc>
        <w:tc>
          <w:tcPr>
            <w:tcW w:w="677" w:type="dxa"/>
          </w:tcPr>
          <w:p>
            <w:pPr>
              <w:pStyle w:val="24"/>
              <w:rPr>
                <w:rFonts w:hint="default" w:ascii="Times New Roman" w:hAnsi="Times New Roman" w:cs="Times New Roman"/>
                <w:color w:val="auto"/>
                <w:sz w:val="22"/>
              </w:rPr>
            </w:pPr>
          </w:p>
        </w:tc>
        <w:tc>
          <w:tcPr>
            <w:tcW w:w="579" w:type="dxa"/>
          </w:tcPr>
          <w:p>
            <w:pPr>
              <w:pStyle w:val="24"/>
              <w:rPr>
                <w:rFonts w:hint="default" w:ascii="Times New Roman" w:hAnsi="Times New Roman" w:cs="Times New Roman"/>
                <w:color w:val="auto"/>
                <w:sz w:val="22"/>
              </w:rPr>
            </w:pPr>
          </w:p>
        </w:tc>
        <w:tc>
          <w:tcPr>
            <w:tcW w:w="706" w:type="dxa"/>
          </w:tcPr>
          <w:p>
            <w:pPr>
              <w:pStyle w:val="24"/>
              <w:rPr>
                <w:rFonts w:hint="default" w:ascii="Times New Roman" w:hAnsi="Times New Roman" w:cs="Times New Roman"/>
                <w:color w:val="auto"/>
                <w:sz w:val="22"/>
              </w:rPr>
            </w:pPr>
          </w:p>
        </w:tc>
        <w:tc>
          <w:tcPr>
            <w:tcW w:w="761" w:type="dxa"/>
          </w:tcPr>
          <w:p>
            <w:pPr>
              <w:pStyle w:val="24"/>
              <w:rPr>
                <w:rFonts w:hint="default" w:ascii="Times New Roman" w:hAnsi="Times New Roman" w:cs="Times New Roman"/>
                <w:color w:val="auto"/>
                <w:sz w:val="22"/>
              </w:rPr>
            </w:pPr>
          </w:p>
        </w:tc>
        <w:tc>
          <w:tcPr>
            <w:tcW w:w="886" w:type="dxa"/>
          </w:tcPr>
          <w:p>
            <w:pPr>
              <w:pStyle w:val="24"/>
              <w:rPr>
                <w:rFonts w:hint="default" w:ascii="Times New Roman" w:hAnsi="Times New Roman" w:cs="Times New Roman"/>
                <w:color w:val="auto"/>
                <w:sz w:val="22"/>
              </w:rPr>
            </w:pPr>
          </w:p>
        </w:tc>
      </w:tr>
    </w:tbl>
    <w:p>
      <w:pPr>
        <w:tabs>
          <w:tab w:val="left" w:pos="4027"/>
        </w:tabs>
        <w:spacing w:before="17" w:after="14"/>
        <w:ind w:left="2806" w:right="0" w:firstLine="0"/>
        <w:jc w:val="left"/>
        <w:rPr>
          <w:rFonts w:hint="default" w:ascii="Times New Roman" w:hAnsi="Times New Roman" w:eastAsia="仿宋" w:cs="Times New Roman"/>
          <w:color w:val="auto"/>
          <w:sz w:val="24"/>
        </w:rPr>
      </w:pPr>
      <w:r>
        <w:rPr>
          <w:rFonts w:hint="default" w:ascii="Times New Roman" w:hAnsi="Times New Roman" w:cs="Times New Roman"/>
          <w:color w:val="auto"/>
          <w:sz w:val="24"/>
        </w:rPr>
        <w:t>表</w:t>
      </w:r>
      <w:r>
        <w:rPr>
          <w:rFonts w:hint="default" w:ascii="Times New Roman" w:hAnsi="Times New Roman" w:eastAsia="Times New Roman" w:cs="Times New Roman"/>
          <w:b/>
          <w:color w:val="auto"/>
          <w:sz w:val="24"/>
        </w:rPr>
        <w:t>4.1-4</w:t>
      </w:r>
      <w:r>
        <w:rPr>
          <w:rFonts w:hint="default" w:ascii="Times New Roman" w:hAnsi="Times New Roman" w:eastAsia="Times New Roman" w:cs="Times New Roman"/>
          <w:b/>
          <w:color w:val="auto"/>
          <w:sz w:val="24"/>
        </w:rPr>
        <w:tab/>
      </w:r>
      <w:r>
        <w:rPr>
          <w:rFonts w:hint="default" w:ascii="Times New Roman" w:hAnsi="Times New Roman" w:eastAsia="仿宋" w:cs="Times New Roman"/>
          <w:color w:val="auto"/>
          <w:sz w:val="24"/>
        </w:rPr>
        <w:t>临时措施监测记录表</w:t>
      </w:r>
    </w:p>
    <w:tbl>
      <w:tblPr>
        <w:tblStyle w:val="19"/>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36"/>
        <w:gridCol w:w="686"/>
        <w:gridCol w:w="751"/>
        <w:gridCol w:w="691"/>
        <w:gridCol w:w="813"/>
        <w:gridCol w:w="679"/>
        <w:gridCol w:w="691"/>
        <w:gridCol w:w="773"/>
        <w:gridCol w:w="910"/>
        <w:gridCol w:w="864"/>
        <w:gridCol w:w="104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16" w:hRule="atLeast"/>
        </w:trPr>
        <w:tc>
          <w:tcPr>
            <w:tcW w:w="636" w:type="dxa"/>
          </w:tcPr>
          <w:p>
            <w:pPr>
              <w:pStyle w:val="24"/>
              <w:spacing w:before="5"/>
              <w:rPr>
                <w:rFonts w:hint="default" w:ascii="Times New Roman" w:hAnsi="Times New Roman" w:eastAsia="仿宋" w:cs="Times New Roman"/>
                <w:color w:val="auto"/>
                <w:sz w:val="21"/>
              </w:rPr>
            </w:pPr>
          </w:p>
          <w:p>
            <w:pPr>
              <w:pStyle w:val="24"/>
              <w:ind w:left="88" w:right="72"/>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编号</w:t>
            </w:r>
          </w:p>
        </w:tc>
        <w:tc>
          <w:tcPr>
            <w:tcW w:w="686" w:type="dxa"/>
          </w:tcPr>
          <w:p>
            <w:pPr>
              <w:pStyle w:val="24"/>
              <w:spacing w:before="137" w:line="244" w:lineRule="auto"/>
              <w:ind w:left="131" w:right="114"/>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监测日期</w:t>
            </w:r>
          </w:p>
        </w:tc>
        <w:tc>
          <w:tcPr>
            <w:tcW w:w="751" w:type="dxa"/>
          </w:tcPr>
          <w:p>
            <w:pPr>
              <w:pStyle w:val="24"/>
              <w:spacing w:before="3" w:line="242" w:lineRule="auto"/>
              <w:ind w:left="165" w:right="145"/>
              <w:rPr>
                <w:rFonts w:hint="default" w:ascii="Times New Roman" w:hAnsi="Times New Roman" w:eastAsia="仿宋" w:cs="Times New Roman"/>
                <w:color w:val="auto"/>
                <w:sz w:val="21"/>
              </w:rPr>
            </w:pPr>
            <w:r>
              <w:rPr>
                <w:rFonts w:hint="default" w:ascii="Times New Roman" w:hAnsi="Times New Roman" w:eastAsia="仿宋" w:cs="Times New Roman"/>
                <w:color w:val="auto"/>
                <w:spacing w:val="-9"/>
                <w:sz w:val="21"/>
              </w:rPr>
              <w:t>位置经度</w:t>
            </w:r>
          </w:p>
          <w:p>
            <w:pPr>
              <w:pStyle w:val="24"/>
              <w:spacing w:before="1" w:line="249" w:lineRule="exact"/>
              <w:ind w:left="16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纬度</w:t>
            </w:r>
          </w:p>
        </w:tc>
        <w:tc>
          <w:tcPr>
            <w:tcW w:w="691" w:type="dxa"/>
          </w:tcPr>
          <w:p>
            <w:pPr>
              <w:pStyle w:val="24"/>
              <w:spacing w:before="137" w:line="244" w:lineRule="auto"/>
              <w:ind w:left="134" w:right="116"/>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监测分区</w:t>
            </w:r>
          </w:p>
        </w:tc>
        <w:tc>
          <w:tcPr>
            <w:tcW w:w="813" w:type="dxa"/>
          </w:tcPr>
          <w:p>
            <w:pPr>
              <w:pStyle w:val="24"/>
              <w:spacing w:before="137" w:line="244" w:lineRule="auto"/>
              <w:ind w:left="194" w:right="178"/>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措施类型</w:t>
            </w:r>
          </w:p>
        </w:tc>
        <w:tc>
          <w:tcPr>
            <w:tcW w:w="679" w:type="dxa"/>
          </w:tcPr>
          <w:p>
            <w:pPr>
              <w:pStyle w:val="24"/>
              <w:spacing w:before="137" w:line="244" w:lineRule="auto"/>
              <w:ind w:left="130" w:right="108"/>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开工日期</w:t>
            </w:r>
          </w:p>
        </w:tc>
        <w:tc>
          <w:tcPr>
            <w:tcW w:w="691" w:type="dxa"/>
          </w:tcPr>
          <w:p>
            <w:pPr>
              <w:pStyle w:val="24"/>
              <w:spacing w:before="137" w:line="244" w:lineRule="auto"/>
              <w:ind w:left="135" w:right="11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完成日期</w:t>
            </w:r>
          </w:p>
        </w:tc>
        <w:tc>
          <w:tcPr>
            <w:tcW w:w="773" w:type="dxa"/>
          </w:tcPr>
          <w:p>
            <w:pPr>
              <w:pStyle w:val="24"/>
              <w:spacing w:before="5"/>
              <w:rPr>
                <w:rFonts w:hint="default" w:ascii="Times New Roman" w:hAnsi="Times New Roman" w:eastAsia="仿宋" w:cs="Times New Roman"/>
                <w:color w:val="auto"/>
                <w:sz w:val="21"/>
              </w:rPr>
            </w:pPr>
          </w:p>
          <w:p>
            <w:pPr>
              <w:pStyle w:val="24"/>
              <w:ind w:left="174"/>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数量</w:t>
            </w:r>
          </w:p>
        </w:tc>
        <w:tc>
          <w:tcPr>
            <w:tcW w:w="910" w:type="dxa"/>
          </w:tcPr>
          <w:p>
            <w:pPr>
              <w:pStyle w:val="24"/>
              <w:spacing w:before="137" w:line="244" w:lineRule="auto"/>
              <w:ind w:left="243" w:right="226"/>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运行状况</w:t>
            </w:r>
          </w:p>
        </w:tc>
        <w:tc>
          <w:tcPr>
            <w:tcW w:w="864" w:type="dxa"/>
          </w:tcPr>
          <w:p>
            <w:pPr>
              <w:pStyle w:val="24"/>
              <w:spacing w:before="137" w:line="244" w:lineRule="auto"/>
              <w:ind w:left="219" w:right="20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防治效果</w:t>
            </w:r>
          </w:p>
        </w:tc>
        <w:tc>
          <w:tcPr>
            <w:tcW w:w="1044" w:type="dxa"/>
          </w:tcPr>
          <w:p>
            <w:pPr>
              <w:pStyle w:val="24"/>
              <w:spacing w:before="137" w:line="244" w:lineRule="auto"/>
              <w:ind w:left="310" w:right="186" w:hanging="104"/>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636" w:type="dxa"/>
          </w:tcPr>
          <w:p>
            <w:pPr>
              <w:pStyle w:val="24"/>
              <w:spacing w:before="47"/>
              <w:ind w:left="12"/>
              <w:jc w:val="center"/>
              <w:rPr>
                <w:rFonts w:hint="default" w:ascii="Times New Roman" w:hAnsi="Times New Roman" w:cs="Times New Roman"/>
                <w:color w:val="auto"/>
                <w:sz w:val="21"/>
              </w:rPr>
            </w:pPr>
            <w:r>
              <w:rPr>
                <w:rFonts w:hint="default" w:ascii="Times New Roman" w:hAnsi="Times New Roman" w:cs="Times New Roman"/>
                <w:color w:val="auto"/>
                <w:w w:val="100"/>
                <w:sz w:val="21"/>
              </w:rPr>
              <w:t>1</w:t>
            </w:r>
          </w:p>
        </w:tc>
        <w:tc>
          <w:tcPr>
            <w:tcW w:w="686" w:type="dxa"/>
          </w:tcPr>
          <w:p>
            <w:pPr>
              <w:pStyle w:val="24"/>
              <w:rPr>
                <w:rFonts w:hint="default" w:ascii="Times New Roman" w:hAnsi="Times New Roman" w:cs="Times New Roman"/>
                <w:color w:val="auto"/>
                <w:sz w:val="22"/>
              </w:rPr>
            </w:pPr>
          </w:p>
        </w:tc>
        <w:tc>
          <w:tcPr>
            <w:tcW w:w="751" w:type="dxa"/>
          </w:tcPr>
          <w:p>
            <w:pPr>
              <w:pStyle w:val="24"/>
              <w:rPr>
                <w:rFonts w:hint="default" w:ascii="Times New Roman" w:hAnsi="Times New Roman" w:cs="Times New Roman"/>
                <w:color w:val="auto"/>
                <w:sz w:val="22"/>
              </w:rPr>
            </w:pPr>
          </w:p>
        </w:tc>
        <w:tc>
          <w:tcPr>
            <w:tcW w:w="691" w:type="dxa"/>
          </w:tcPr>
          <w:p>
            <w:pPr>
              <w:pStyle w:val="24"/>
              <w:rPr>
                <w:rFonts w:hint="default" w:ascii="Times New Roman" w:hAnsi="Times New Roman" w:cs="Times New Roman"/>
                <w:color w:val="auto"/>
                <w:sz w:val="22"/>
              </w:rPr>
            </w:pPr>
          </w:p>
        </w:tc>
        <w:tc>
          <w:tcPr>
            <w:tcW w:w="813" w:type="dxa"/>
          </w:tcPr>
          <w:p>
            <w:pPr>
              <w:pStyle w:val="24"/>
              <w:rPr>
                <w:rFonts w:hint="default" w:ascii="Times New Roman" w:hAnsi="Times New Roman" w:cs="Times New Roman"/>
                <w:color w:val="auto"/>
                <w:sz w:val="22"/>
              </w:rPr>
            </w:pPr>
          </w:p>
        </w:tc>
        <w:tc>
          <w:tcPr>
            <w:tcW w:w="679" w:type="dxa"/>
          </w:tcPr>
          <w:p>
            <w:pPr>
              <w:pStyle w:val="24"/>
              <w:rPr>
                <w:rFonts w:hint="default" w:ascii="Times New Roman" w:hAnsi="Times New Roman" w:cs="Times New Roman"/>
                <w:color w:val="auto"/>
                <w:sz w:val="22"/>
              </w:rPr>
            </w:pPr>
          </w:p>
        </w:tc>
        <w:tc>
          <w:tcPr>
            <w:tcW w:w="691" w:type="dxa"/>
          </w:tcPr>
          <w:p>
            <w:pPr>
              <w:pStyle w:val="24"/>
              <w:rPr>
                <w:rFonts w:hint="default" w:ascii="Times New Roman" w:hAnsi="Times New Roman" w:cs="Times New Roman"/>
                <w:color w:val="auto"/>
                <w:sz w:val="22"/>
              </w:rPr>
            </w:pPr>
          </w:p>
        </w:tc>
        <w:tc>
          <w:tcPr>
            <w:tcW w:w="773" w:type="dxa"/>
          </w:tcPr>
          <w:p>
            <w:pPr>
              <w:pStyle w:val="24"/>
              <w:rPr>
                <w:rFonts w:hint="default" w:ascii="Times New Roman" w:hAnsi="Times New Roman" w:cs="Times New Roman"/>
                <w:color w:val="auto"/>
                <w:sz w:val="22"/>
              </w:rPr>
            </w:pPr>
          </w:p>
        </w:tc>
        <w:tc>
          <w:tcPr>
            <w:tcW w:w="910" w:type="dxa"/>
          </w:tcPr>
          <w:p>
            <w:pPr>
              <w:pStyle w:val="24"/>
              <w:rPr>
                <w:rFonts w:hint="default" w:ascii="Times New Roman" w:hAnsi="Times New Roman" w:cs="Times New Roman"/>
                <w:color w:val="auto"/>
                <w:sz w:val="22"/>
              </w:rPr>
            </w:pPr>
          </w:p>
        </w:tc>
        <w:tc>
          <w:tcPr>
            <w:tcW w:w="864" w:type="dxa"/>
          </w:tcPr>
          <w:p>
            <w:pPr>
              <w:pStyle w:val="24"/>
              <w:rPr>
                <w:rFonts w:hint="default" w:ascii="Times New Roman" w:hAnsi="Times New Roman" w:cs="Times New Roman"/>
                <w:color w:val="auto"/>
                <w:sz w:val="22"/>
              </w:rPr>
            </w:pPr>
          </w:p>
        </w:tc>
        <w:tc>
          <w:tcPr>
            <w:tcW w:w="1044" w:type="dxa"/>
          </w:tcPr>
          <w:p>
            <w:pPr>
              <w:pStyle w:val="24"/>
              <w:rPr>
                <w:rFonts w:hint="default" w:ascii="Times New Roman" w:hAnsi="Times New Roman" w:cs="Times New Roman"/>
                <w:color w:val="auto"/>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636" w:type="dxa"/>
          </w:tcPr>
          <w:p>
            <w:pPr>
              <w:pStyle w:val="24"/>
              <w:spacing w:before="95" w:line="220" w:lineRule="exact"/>
              <w:ind w:left="88" w:right="72"/>
              <w:jc w:val="center"/>
              <w:rPr>
                <w:rFonts w:hint="default" w:ascii="Times New Roman" w:hAnsi="Times New Roman" w:cs="Times New Roman"/>
                <w:color w:val="auto"/>
                <w:sz w:val="21"/>
              </w:rPr>
            </w:pPr>
            <w:r>
              <w:rPr>
                <w:rFonts w:hint="default" w:ascii="Times New Roman" w:hAnsi="Times New Roman" w:cs="Times New Roman"/>
                <w:color w:val="auto"/>
                <w:sz w:val="21"/>
              </w:rPr>
              <w:t>……</w:t>
            </w:r>
          </w:p>
        </w:tc>
        <w:tc>
          <w:tcPr>
            <w:tcW w:w="686" w:type="dxa"/>
          </w:tcPr>
          <w:p>
            <w:pPr>
              <w:pStyle w:val="24"/>
              <w:rPr>
                <w:rFonts w:hint="default" w:ascii="Times New Roman" w:hAnsi="Times New Roman" w:cs="Times New Roman"/>
                <w:color w:val="auto"/>
                <w:sz w:val="22"/>
              </w:rPr>
            </w:pPr>
          </w:p>
        </w:tc>
        <w:tc>
          <w:tcPr>
            <w:tcW w:w="751" w:type="dxa"/>
          </w:tcPr>
          <w:p>
            <w:pPr>
              <w:pStyle w:val="24"/>
              <w:rPr>
                <w:rFonts w:hint="default" w:ascii="Times New Roman" w:hAnsi="Times New Roman" w:cs="Times New Roman"/>
                <w:color w:val="auto"/>
                <w:sz w:val="22"/>
              </w:rPr>
            </w:pPr>
          </w:p>
        </w:tc>
        <w:tc>
          <w:tcPr>
            <w:tcW w:w="691" w:type="dxa"/>
          </w:tcPr>
          <w:p>
            <w:pPr>
              <w:pStyle w:val="24"/>
              <w:rPr>
                <w:rFonts w:hint="default" w:ascii="Times New Roman" w:hAnsi="Times New Roman" w:cs="Times New Roman"/>
                <w:color w:val="auto"/>
                <w:sz w:val="22"/>
              </w:rPr>
            </w:pPr>
          </w:p>
        </w:tc>
        <w:tc>
          <w:tcPr>
            <w:tcW w:w="813" w:type="dxa"/>
          </w:tcPr>
          <w:p>
            <w:pPr>
              <w:pStyle w:val="24"/>
              <w:rPr>
                <w:rFonts w:hint="default" w:ascii="Times New Roman" w:hAnsi="Times New Roman" w:cs="Times New Roman"/>
                <w:color w:val="auto"/>
                <w:sz w:val="22"/>
              </w:rPr>
            </w:pPr>
          </w:p>
        </w:tc>
        <w:tc>
          <w:tcPr>
            <w:tcW w:w="679" w:type="dxa"/>
          </w:tcPr>
          <w:p>
            <w:pPr>
              <w:pStyle w:val="24"/>
              <w:rPr>
                <w:rFonts w:hint="default" w:ascii="Times New Roman" w:hAnsi="Times New Roman" w:cs="Times New Roman"/>
                <w:color w:val="auto"/>
                <w:sz w:val="22"/>
              </w:rPr>
            </w:pPr>
          </w:p>
        </w:tc>
        <w:tc>
          <w:tcPr>
            <w:tcW w:w="691" w:type="dxa"/>
          </w:tcPr>
          <w:p>
            <w:pPr>
              <w:pStyle w:val="24"/>
              <w:rPr>
                <w:rFonts w:hint="default" w:ascii="Times New Roman" w:hAnsi="Times New Roman" w:cs="Times New Roman"/>
                <w:color w:val="auto"/>
                <w:sz w:val="22"/>
              </w:rPr>
            </w:pPr>
          </w:p>
        </w:tc>
        <w:tc>
          <w:tcPr>
            <w:tcW w:w="773" w:type="dxa"/>
          </w:tcPr>
          <w:p>
            <w:pPr>
              <w:pStyle w:val="24"/>
              <w:rPr>
                <w:rFonts w:hint="default" w:ascii="Times New Roman" w:hAnsi="Times New Roman" w:cs="Times New Roman"/>
                <w:color w:val="auto"/>
                <w:sz w:val="22"/>
              </w:rPr>
            </w:pPr>
          </w:p>
        </w:tc>
        <w:tc>
          <w:tcPr>
            <w:tcW w:w="910" w:type="dxa"/>
          </w:tcPr>
          <w:p>
            <w:pPr>
              <w:pStyle w:val="24"/>
              <w:rPr>
                <w:rFonts w:hint="default" w:ascii="Times New Roman" w:hAnsi="Times New Roman" w:cs="Times New Roman"/>
                <w:color w:val="auto"/>
                <w:sz w:val="22"/>
              </w:rPr>
            </w:pPr>
          </w:p>
        </w:tc>
        <w:tc>
          <w:tcPr>
            <w:tcW w:w="864" w:type="dxa"/>
          </w:tcPr>
          <w:p>
            <w:pPr>
              <w:pStyle w:val="24"/>
              <w:rPr>
                <w:rFonts w:hint="default" w:ascii="Times New Roman" w:hAnsi="Times New Roman" w:cs="Times New Roman"/>
                <w:color w:val="auto"/>
                <w:sz w:val="22"/>
              </w:rPr>
            </w:pPr>
          </w:p>
        </w:tc>
        <w:tc>
          <w:tcPr>
            <w:tcW w:w="1044" w:type="dxa"/>
          </w:tcPr>
          <w:p>
            <w:pPr>
              <w:pStyle w:val="24"/>
              <w:rPr>
                <w:rFonts w:hint="default" w:ascii="Times New Roman" w:hAnsi="Times New Roman" w:cs="Times New Roman"/>
                <w:color w:val="auto"/>
                <w:sz w:val="22"/>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对后期项目区绿化植被进行监测。选有代表性的地块作为标准地，标准地的面积为投影面积，要求乔木林20m×20m、灌木林5m×5m、草地2m×2m。分别取标准地进行观测并计算林地郁闭度、草地盖度和类型区林草的植被覆盖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mc:AlternateContent>
          <mc:Choice Requires="wps">
            <w:drawing>
              <wp:anchor distT="0" distB="0" distL="114300" distR="114300" simplePos="0" relativeHeight="251660288" behindDoc="1" locked="0" layoutInCell="1" allowOverlap="1">
                <wp:simplePos x="0" y="0"/>
                <wp:positionH relativeFrom="page">
                  <wp:posOffset>3689350</wp:posOffset>
                </wp:positionH>
                <wp:positionV relativeFrom="paragraph">
                  <wp:posOffset>497840</wp:posOffset>
                </wp:positionV>
                <wp:extent cx="128270" cy="0"/>
                <wp:effectExtent l="0" t="0" r="0" b="0"/>
                <wp:wrapNone/>
                <wp:docPr id="3" name="直接连接符 3"/>
                <wp:cNvGraphicFramePr/>
                <a:graphic xmlns:a="http://schemas.openxmlformats.org/drawingml/2006/main">
                  <a:graphicData uri="http://schemas.microsoft.com/office/word/2010/wordprocessingShape">
                    <wps:wsp>
                      <wps:cNvCnPr/>
                      <wps:spPr>
                        <a:xfrm>
                          <a:off x="0" y="0"/>
                          <a:ext cx="128270" cy="0"/>
                        </a:xfrm>
                        <a:prstGeom prst="line">
                          <a:avLst/>
                        </a:prstGeom>
                        <a:ln w="7553"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90.5pt;margin-top:39.2pt;height:0pt;width:10.1pt;mso-position-horizontal-relative:page;z-index:-251656192;mso-width-relative:page;mso-height-relative:page;" filled="f" stroked="t" coordsize="21600,21600" o:gfxdata="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">
                <v:fill on="f" focussize="0,0"/>
                <v:stroke weight="0.594724409448819pt" color="#000000" joinstyle="round"/>
                <v:imagedata o:title=""/>
                <o:lock v:ext="edit" aspectratio="f"/>
              </v:line>
            </w:pict>
          </mc:Fallback>
        </mc:AlternateContent>
      </w:r>
      <w:r>
        <w:rPr>
          <w:rFonts w:hint="default" w:ascii="Times New Roman" w:hAnsi="Times New Roman" w:cs="Times New Roman"/>
          <w:color w:val="auto"/>
        </w:rPr>
        <w:t xml:space="preserve">计算公式为： </w:t>
      </w:r>
    </w:p>
    <w:p>
      <w:pPr>
        <w:spacing w:after="0" w:line="307" w:lineRule="exact"/>
        <w:rPr>
          <w:rFonts w:hint="default" w:ascii="Times New Roman" w:hAnsi="Times New Roman" w:cs="Times New Roman"/>
          <w:color w:val="auto"/>
        </w:rPr>
        <w:sectPr>
          <w:pgSz w:w="11910" w:h="16840"/>
          <w:pgMar w:top="1440" w:right="1440" w:bottom="1440" w:left="1440" w:header="888" w:footer="994" w:gutter="0"/>
          <w:pgNumType w:fmt="decimal"/>
          <w:cols w:space="720" w:num="1"/>
        </w:sectPr>
      </w:pPr>
    </w:p>
    <w:p>
      <w:pPr>
        <w:spacing w:before="182" w:line="187" w:lineRule="auto"/>
        <w:ind w:left="0" w:right="3" w:firstLine="0"/>
        <w:jc w:val="right"/>
        <w:rPr>
          <w:rFonts w:hint="default" w:ascii="Times New Roman" w:hAnsi="Times New Roman" w:cs="Times New Roman"/>
          <w:i/>
          <w:color w:val="auto"/>
          <w:sz w:val="24"/>
        </w:rPr>
      </w:pPr>
      <w:r>
        <w:rPr>
          <w:rFonts w:hint="default" w:ascii="Times New Roman" w:hAnsi="Times New Roman" w:cs="Times New Roman"/>
          <w:color w:val="auto"/>
        </w:rPr>
        <mc:AlternateContent>
          <mc:Choice Requires="wps">
            <w:drawing>
              <wp:anchor distT="0" distB="0" distL="114300" distR="114300" simplePos="0" relativeHeight="251659264" behindDoc="1" locked="0" layoutInCell="1" allowOverlap="1">
                <wp:simplePos x="0" y="0"/>
                <wp:positionH relativeFrom="page">
                  <wp:posOffset>2444115</wp:posOffset>
                </wp:positionH>
                <wp:positionV relativeFrom="paragraph">
                  <wp:posOffset>302895</wp:posOffset>
                </wp:positionV>
                <wp:extent cx="204470" cy="0"/>
                <wp:effectExtent l="0" t="0" r="0" b="0"/>
                <wp:wrapNone/>
                <wp:docPr id="2" name="直接连接符 2"/>
                <wp:cNvGraphicFramePr/>
                <a:graphic xmlns:a="http://schemas.openxmlformats.org/drawingml/2006/main">
                  <a:graphicData uri="http://schemas.microsoft.com/office/word/2010/wordprocessingShape">
                    <wps:wsp>
                      <wps:cNvCnPr/>
                      <wps:spPr>
                        <a:xfrm>
                          <a:off x="0" y="0"/>
                          <a:ext cx="204470" cy="0"/>
                        </a:xfrm>
                        <a:prstGeom prst="line">
                          <a:avLst/>
                        </a:prstGeom>
                        <a:ln w="7544" cap="flat" cmpd="sng">
                          <a:solidFill>
                            <a:srgbClr val="00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192.45pt;margin-top:23.85pt;height:0pt;width:16.1pt;mso-position-horizontal-relative:page;z-index:-251657216;mso-width-relative:page;mso-height-relative:page;" filled="f" stroked="t" coordsize="21600,21600" o:gfxdata="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">
                <v:fill on="f" focussize="0,0"/>
                <v:stroke weight="0.594015748031496pt" color="#000000" joinstyle="round"/>
                <v:imagedata o:title=""/>
                <o:lock v:ext="edit" aspectratio="f"/>
              </v:line>
            </w:pict>
          </mc:Fallback>
        </mc:AlternateContent>
      </w:r>
      <w:r>
        <w:rPr>
          <w:rFonts w:hint="default" w:ascii="Times New Roman" w:hAnsi="Times New Roman" w:cs="Times New Roman"/>
          <w:i/>
          <w:color w:val="auto"/>
          <w:position w:val="-14"/>
          <w:sz w:val="24"/>
        </w:rPr>
        <w:t xml:space="preserve">D </w:t>
      </w:r>
      <w:r>
        <w:rPr>
          <w:rFonts w:hint="default" w:ascii="Times New Roman" w:hAnsi="Times New Roman" w:cs="Times New Roman"/>
          <w:color w:val="auto"/>
          <w:position w:val="-14"/>
          <w:sz w:val="24"/>
        </w:rPr>
        <w:t></w:t>
      </w:r>
      <w:r>
        <w:rPr>
          <w:rFonts w:hint="default" w:ascii="Times New Roman" w:hAnsi="Times New Roman" w:cs="Times New Roman"/>
          <w:color w:val="auto"/>
          <w:spacing w:val="20"/>
          <w:position w:val="-14"/>
          <w:sz w:val="24"/>
        </w:rPr>
        <w:t xml:space="preserve"> </w:t>
      </w:r>
      <w:r>
        <w:rPr>
          <w:rFonts w:hint="default" w:ascii="Times New Roman" w:hAnsi="Times New Roman" w:cs="Times New Roman"/>
          <w:i/>
          <w:color w:val="auto"/>
          <w:sz w:val="24"/>
        </w:rPr>
        <w:t>Fd</w:t>
      </w:r>
    </w:p>
    <w:p>
      <w:pPr>
        <w:spacing w:before="0" w:line="232" w:lineRule="exact"/>
        <w:ind w:left="0" w:right="0" w:firstLine="0"/>
        <w:jc w:val="right"/>
        <w:rPr>
          <w:rFonts w:hint="default" w:ascii="Times New Roman" w:hAnsi="Times New Roman" w:cs="Times New Roman"/>
          <w:i/>
          <w:color w:val="auto"/>
          <w:sz w:val="24"/>
        </w:rPr>
      </w:pPr>
      <w:r>
        <w:rPr>
          <w:rFonts w:hint="default" w:ascii="Times New Roman" w:hAnsi="Times New Roman" w:cs="Times New Roman"/>
          <w:i/>
          <w:color w:val="auto"/>
          <w:spacing w:val="-1"/>
          <w:sz w:val="24"/>
        </w:rPr>
        <w:t>Fe</w:t>
      </w:r>
    </w:p>
    <w:p>
      <w:pPr>
        <w:pStyle w:val="8"/>
        <w:spacing w:before="10"/>
        <w:rPr>
          <w:rFonts w:hint="default" w:ascii="Times New Roman" w:hAnsi="Times New Roman" w:cs="Times New Roman"/>
          <w:i/>
          <w:color w:val="auto"/>
          <w:sz w:val="20"/>
        </w:rPr>
      </w:pPr>
      <w:r>
        <w:rPr>
          <w:rFonts w:hint="default" w:ascii="Times New Roman" w:hAnsi="Times New Roman" w:cs="Times New Roman"/>
          <w:color w:val="auto"/>
        </w:rPr>
        <w:br w:type="column"/>
      </w:r>
    </w:p>
    <w:p>
      <w:pPr>
        <w:spacing w:before="1" w:line="163" w:lineRule="auto"/>
        <w:ind w:left="1651" w:right="4968" w:hanging="444"/>
        <w:jc w:val="left"/>
        <w:rPr>
          <w:rFonts w:hint="default" w:ascii="Times New Roman" w:hAnsi="Times New Roman" w:cs="Times New Roman"/>
          <w:i/>
          <w:color w:val="auto"/>
          <w:sz w:val="24"/>
        </w:rPr>
      </w:pPr>
      <w:r>
        <w:rPr>
          <w:rFonts w:hint="default" w:ascii="Times New Roman" w:hAnsi="Times New Roman" w:cs="Times New Roman"/>
          <w:i/>
          <w:color w:val="auto"/>
          <w:sz w:val="24"/>
        </w:rPr>
        <w:t xml:space="preserve">C </w:t>
      </w:r>
      <w:r>
        <w:rPr>
          <w:rFonts w:hint="default" w:ascii="Times New Roman" w:hAnsi="Times New Roman" w:cs="Times New Roman"/>
          <w:color w:val="auto"/>
          <w:sz w:val="24"/>
        </w:rPr>
        <w:t xml:space="preserve"> </w:t>
      </w:r>
      <w:r>
        <w:rPr>
          <w:rFonts w:hint="default" w:ascii="Times New Roman" w:hAnsi="Times New Roman" w:cs="Times New Roman"/>
          <w:i/>
          <w:color w:val="auto"/>
          <w:position w:val="15"/>
          <w:sz w:val="24"/>
        </w:rPr>
        <w:t xml:space="preserve">f </w:t>
      </w:r>
      <w:r>
        <w:rPr>
          <w:rFonts w:hint="default" w:ascii="Times New Roman" w:hAnsi="Times New Roman" w:cs="Times New Roman"/>
          <w:i/>
          <w:color w:val="auto"/>
          <w:sz w:val="24"/>
        </w:rPr>
        <w:t>F</w:t>
      </w:r>
    </w:p>
    <w:p>
      <w:pPr>
        <w:spacing w:after="0" w:line="163" w:lineRule="auto"/>
        <w:jc w:val="left"/>
        <w:rPr>
          <w:rFonts w:hint="default" w:ascii="Times New Roman" w:hAnsi="Times New Roman" w:cs="Times New Roman"/>
          <w:color w:val="auto"/>
          <w:sz w:val="24"/>
        </w:rPr>
        <w:sectPr>
          <w:type w:val="continuous"/>
          <w:pgSz w:w="11910" w:h="16840"/>
          <w:pgMar w:top="1300" w:right="940" w:bottom="280" w:left="1360" w:header="720" w:footer="720" w:gutter="0"/>
          <w:pgNumType w:fmt="decimal"/>
          <w:cols w:equalWidth="0" w:num="2">
            <w:col w:w="2784" w:space="40"/>
            <w:col w:w="6786"/>
          </w:cols>
        </w:sectPr>
      </w:pPr>
    </w:p>
    <w:p>
      <w:pPr>
        <w:pStyle w:val="8"/>
        <w:spacing w:before="4"/>
        <w:rPr>
          <w:rFonts w:hint="default" w:ascii="Times New Roman" w:hAnsi="Times New Roman" w:cs="Times New Roman"/>
          <w:i/>
          <w:color w:val="auto"/>
          <w:sz w:val="10"/>
        </w:rPr>
      </w:pPr>
    </w:p>
    <w:p>
      <w:pPr>
        <w:pStyle w:val="8"/>
        <w:spacing w:before="74"/>
        <w:ind w:left="1421"/>
        <w:rPr>
          <w:rFonts w:hint="default" w:ascii="Times New Roman" w:hAnsi="Times New Roman" w:cs="Times New Roman"/>
          <w:color w:val="auto"/>
        </w:rPr>
      </w:pPr>
      <w:r>
        <w:rPr>
          <w:rFonts w:hint="default" w:ascii="Times New Roman" w:hAnsi="Times New Roman" w:eastAsia="仿宋" w:cs="Times New Roman"/>
          <w:color w:val="auto"/>
        </w:rPr>
        <w:t>式中</w:t>
      </w:r>
      <w:r>
        <w:rPr>
          <w:rFonts w:hint="default" w:ascii="Times New Roman" w:hAnsi="Times New Roman" w:cs="Times New Roman"/>
          <w:color w:val="auto"/>
        </w:rPr>
        <w:t>：</w:t>
      </w:r>
      <w:r>
        <w:rPr>
          <w:rFonts w:hint="default" w:ascii="Times New Roman" w:hAnsi="Times New Roman" w:eastAsia="Times New Roman" w:cs="Times New Roman"/>
          <w:color w:val="auto"/>
        </w:rPr>
        <w:t>D—</w:t>
      </w:r>
      <w:r>
        <w:rPr>
          <w:rFonts w:hint="default" w:ascii="Times New Roman" w:hAnsi="Times New Roman" w:eastAsia="仿宋" w:cs="Times New Roman"/>
          <w:color w:val="auto"/>
        </w:rPr>
        <w:t>林地的郁闭度（或草地的盖度）</w:t>
      </w:r>
      <w:r>
        <w:rPr>
          <w:rFonts w:hint="default" w:ascii="Times New Roman" w:hAnsi="Times New Roman" w:cs="Times New Roman"/>
          <w:color w:val="auto"/>
        </w:rPr>
        <w:t>；</w:t>
      </w:r>
    </w:p>
    <w:p>
      <w:pPr>
        <w:pStyle w:val="8"/>
        <w:spacing w:before="7"/>
        <w:rPr>
          <w:rFonts w:hint="default" w:ascii="Times New Roman" w:hAnsi="Times New Roman" w:cs="Times New Roman"/>
          <w:color w:val="auto"/>
          <w:sz w:val="23"/>
        </w:rPr>
      </w:pPr>
    </w:p>
    <w:p>
      <w:pPr>
        <w:pStyle w:val="8"/>
        <w:spacing w:before="1" w:line="374" w:lineRule="auto"/>
        <w:ind w:left="2261" w:right="4029"/>
        <w:rPr>
          <w:rFonts w:hint="default" w:ascii="Times New Roman" w:hAnsi="Times New Roman" w:cs="Times New Roman"/>
          <w:color w:val="auto"/>
        </w:rPr>
      </w:pPr>
      <w:r>
        <w:rPr>
          <w:rFonts w:hint="default" w:ascii="Times New Roman" w:hAnsi="Times New Roman" w:eastAsia="Times New Roman" w:cs="Times New Roman"/>
          <w:color w:val="auto"/>
        </w:rPr>
        <w:t>C—</w:t>
      </w:r>
      <w:r>
        <w:rPr>
          <w:rFonts w:hint="default" w:ascii="Times New Roman" w:hAnsi="Times New Roman" w:eastAsia="仿宋" w:cs="Times New Roman"/>
          <w:color w:val="auto"/>
        </w:rPr>
        <w:t>林（或草）植被覆盖度</w:t>
      </w:r>
      <w:r>
        <w:rPr>
          <w:rFonts w:hint="default" w:ascii="Times New Roman" w:hAnsi="Times New Roman" w:eastAsia="Times New Roman" w:cs="Times New Roman"/>
          <w:color w:val="auto"/>
        </w:rPr>
        <w:t>,%</w:t>
      </w:r>
      <w:r>
        <w:rPr>
          <w:rFonts w:hint="default" w:ascii="Times New Roman" w:hAnsi="Times New Roman" w:cs="Times New Roman"/>
          <w:color w:val="auto"/>
        </w:rPr>
        <w:t xml:space="preserve">； </w:t>
      </w:r>
      <w:r>
        <w:rPr>
          <w:rFonts w:hint="default" w:ascii="Times New Roman" w:hAnsi="Times New Roman" w:eastAsia="Times New Roman" w:cs="Times New Roman"/>
          <w:color w:val="auto"/>
        </w:rPr>
        <w:t>fd——</w:t>
      </w:r>
      <w:r>
        <w:rPr>
          <w:rFonts w:hint="default" w:ascii="Times New Roman" w:hAnsi="Times New Roman" w:eastAsia="仿宋" w:cs="Times New Roman"/>
          <w:color w:val="auto"/>
        </w:rPr>
        <w:t>样方面积</w:t>
      </w:r>
      <w:r>
        <w:rPr>
          <w:rFonts w:hint="default" w:ascii="Times New Roman" w:hAnsi="Times New Roman" w:eastAsia="Times New Roman" w:cs="Times New Roman"/>
          <w:color w:val="auto"/>
        </w:rPr>
        <w:t>,m</w:t>
      </w:r>
      <w:r>
        <w:rPr>
          <w:rFonts w:hint="default" w:ascii="Times New Roman" w:hAnsi="Times New Roman" w:eastAsia="Times New Roman" w:cs="Times New Roman"/>
          <w:color w:val="auto"/>
          <w:position w:val="9"/>
          <w:sz w:val="16"/>
        </w:rPr>
        <w:t>2</w:t>
      </w:r>
      <w:r>
        <w:rPr>
          <w:rFonts w:hint="default" w:ascii="Times New Roman" w:hAnsi="Times New Roman" w:cs="Times New Roman"/>
          <w:color w:val="auto"/>
        </w:rPr>
        <w:t>；</w:t>
      </w:r>
    </w:p>
    <w:p>
      <w:pPr>
        <w:pStyle w:val="8"/>
        <w:spacing w:line="374" w:lineRule="auto"/>
        <w:ind w:left="2381" w:right="2506" w:hanging="120"/>
        <w:rPr>
          <w:rFonts w:hint="default" w:ascii="Times New Roman" w:hAnsi="Times New Roman" w:cs="Times New Roman"/>
          <w:color w:val="auto"/>
        </w:rPr>
      </w:pPr>
      <w:r>
        <w:rPr>
          <w:rFonts w:hint="default" w:ascii="Times New Roman" w:hAnsi="Times New Roman" w:eastAsia="Times New Roman" w:cs="Times New Roman"/>
          <w:color w:val="auto"/>
        </w:rPr>
        <w:t>fe——</w:t>
      </w:r>
      <w:r>
        <w:rPr>
          <w:rFonts w:hint="default" w:ascii="Times New Roman" w:hAnsi="Times New Roman" w:eastAsia="仿宋" w:cs="Times New Roman"/>
          <w:color w:val="auto"/>
        </w:rPr>
        <w:t>样方内树冠（草冠）垂直投影面积</w:t>
      </w:r>
      <w:r>
        <w:rPr>
          <w:rFonts w:hint="default" w:ascii="Times New Roman" w:hAnsi="Times New Roman" w:eastAsia="Times New Roman" w:cs="Times New Roman"/>
          <w:color w:val="auto"/>
        </w:rPr>
        <w:t>,m</w:t>
      </w:r>
      <w:r>
        <w:rPr>
          <w:rFonts w:hint="default" w:ascii="Times New Roman" w:hAnsi="Times New Roman" w:eastAsia="Times New Roman" w:cs="Times New Roman"/>
          <w:color w:val="auto"/>
          <w:position w:val="9"/>
          <w:sz w:val="16"/>
        </w:rPr>
        <w:t>2</w:t>
      </w:r>
      <w:r>
        <w:rPr>
          <w:rFonts w:hint="default" w:ascii="Times New Roman" w:hAnsi="Times New Roman" w:cs="Times New Roman"/>
          <w:color w:val="auto"/>
        </w:rPr>
        <w:t>。</w:t>
      </w:r>
      <w:r>
        <w:rPr>
          <w:rFonts w:hint="default" w:ascii="Times New Roman" w:hAnsi="Times New Roman" w:eastAsia="Times New Roman" w:cs="Times New Roman"/>
          <w:color w:val="auto"/>
        </w:rPr>
        <w:t>f——</w:t>
      </w:r>
      <w:r>
        <w:rPr>
          <w:rFonts w:hint="default" w:ascii="Times New Roman" w:hAnsi="Times New Roman" w:eastAsia="仿宋" w:cs="Times New Roman"/>
          <w:color w:val="auto"/>
        </w:rPr>
        <w:t>林地（或草地）面积</w:t>
      </w:r>
      <w:r>
        <w:rPr>
          <w:rFonts w:hint="default" w:ascii="Times New Roman" w:hAnsi="Times New Roman" w:eastAsia="Times New Roman" w:cs="Times New Roman"/>
          <w:color w:val="auto"/>
        </w:rPr>
        <w:t>,hm</w:t>
      </w:r>
      <w:r>
        <w:rPr>
          <w:rFonts w:hint="default" w:ascii="Times New Roman" w:hAnsi="Times New Roman" w:eastAsia="Times New Roman" w:cs="Times New Roman"/>
          <w:color w:val="auto"/>
          <w:position w:val="9"/>
          <w:sz w:val="16"/>
        </w:rPr>
        <w:t>2</w:t>
      </w:r>
      <w:r>
        <w:rPr>
          <w:rFonts w:hint="default" w:ascii="Times New Roman" w:hAnsi="Times New Roman" w:cs="Times New Roman"/>
          <w:color w:val="auto"/>
        </w:rPr>
        <w:t>；</w:t>
      </w:r>
    </w:p>
    <w:p>
      <w:pPr>
        <w:pStyle w:val="8"/>
        <w:spacing w:before="1"/>
        <w:ind w:left="2261"/>
        <w:rPr>
          <w:rFonts w:hint="default" w:ascii="Times New Roman" w:hAnsi="Times New Roman" w:cs="Times New Roman"/>
          <w:color w:val="auto"/>
        </w:rPr>
      </w:pPr>
      <w:r>
        <w:rPr>
          <w:rFonts w:hint="default" w:ascii="Times New Roman" w:hAnsi="Times New Roman" w:cs="Times New Roman"/>
          <w:color w:val="auto"/>
        </w:rPr>
        <w:t>Ｆ</w:t>
      </w:r>
      <w:r>
        <w:rPr>
          <w:rFonts w:hint="default" w:ascii="Times New Roman" w:hAnsi="Times New Roman" w:eastAsia="Times New Roman" w:cs="Times New Roman"/>
          <w:color w:val="auto"/>
        </w:rPr>
        <w:t>——</w:t>
      </w:r>
      <w:r>
        <w:rPr>
          <w:rFonts w:hint="default" w:ascii="Times New Roman" w:hAnsi="Times New Roman" w:eastAsia="仿宋" w:cs="Times New Roman"/>
          <w:color w:val="auto"/>
        </w:rPr>
        <w:t>类型区总面积</w:t>
      </w:r>
      <w:r>
        <w:rPr>
          <w:rFonts w:hint="default" w:ascii="Times New Roman" w:hAnsi="Times New Roman" w:eastAsia="Times New Roman" w:cs="Times New Roman"/>
          <w:color w:val="auto"/>
        </w:rPr>
        <w:t>,hm</w:t>
      </w:r>
      <w:r>
        <w:rPr>
          <w:rFonts w:hint="default" w:ascii="Times New Roman" w:hAnsi="Times New Roman" w:eastAsia="Times New Roman" w:cs="Times New Roman"/>
          <w:color w:val="auto"/>
          <w:position w:val="9"/>
          <w:sz w:val="16"/>
        </w:rPr>
        <w:t>2</w:t>
      </w:r>
      <w:r>
        <w:rPr>
          <w:rFonts w:hint="default" w:ascii="Times New Roman" w:hAnsi="Times New Roman" w:cs="Times New Roman"/>
          <w:color w:val="auto"/>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需要注意：纳入计算的林地或草地面积，其林地的郁闭度或草地的盖度都应大于20%。关于标准地的灌丛、草本覆盖度调查，采用目测方法按国际通用分级标准进行。植被监测数据记录表格见表4.1-5~表4.1-6。</w:t>
      </w:r>
    </w:p>
    <w:p>
      <w:pPr>
        <w:tabs>
          <w:tab w:val="left" w:pos="4147"/>
        </w:tabs>
        <w:spacing w:before="0" w:after="2" w:line="304" w:lineRule="exact"/>
        <w:ind w:left="2866" w:right="0" w:firstLine="0"/>
        <w:jc w:val="left"/>
        <w:rPr>
          <w:rFonts w:hint="default" w:ascii="Times New Roman" w:hAnsi="Times New Roman" w:eastAsia="仿宋" w:cs="Times New Roman"/>
          <w:color w:val="auto"/>
          <w:sz w:val="24"/>
        </w:rPr>
      </w:pPr>
      <w:r>
        <w:rPr>
          <w:rFonts w:hint="default" w:ascii="Times New Roman" w:hAnsi="Times New Roman" w:cs="Times New Roman"/>
          <w:color w:val="auto"/>
          <w:sz w:val="24"/>
        </w:rPr>
        <w:t>表</w:t>
      </w:r>
      <w:r>
        <w:rPr>
          <w:rFonts w:hint="default" w:ascii="Times New Roman" w:hAnsi="Times New Roman" w:cs="Times New Roman"/>
          <w:color w:val="auto"/>
          <w:spacing w:val="-58"/>
          <w:sz w:val="24"/>
        </w:rPr>
        <w:t xml:space="preserve"> </w:t>
      </w:r>
      <w:r>
        <w:rPr>
          <w:rFonts w:hint="default" w:ascii="Times New Roman" w:hAnsi="Times New Roman" w:eastAsia="Times New Roman" w:cs="Times New Roman"/>
          <w:b/>
          <w:color w:val="auto"/>
          <w:sz w:val="24"/>
        </w:rPr>
        <w:t>4.1-5</w:t>
      </w:r>
      <w:r>
        <w:rPr>
          <w:rFonts w:hint="default" w:ascii="Times New Roman" w:hAnsi="Times New Roman" w:eastAsia="Times New Roman" w:cs="Times New Roman"/>
          <w:b/>
          <w:color w:val="auto"/>
          <w:sz w:val="24"/>
        </w:rPr>
        <w:tab/>
      </w:r>
      <w:r>
        <w:rPr>
          <w:rFonts w:hint="default" w:ascii="Times New Roman" w:hAnsi="Times New Roman" w:eastAsia="仿宋" w:cs="Times New Roman"/>
          <w:color w:val="auto"/>
          <w:sz w:val="24"/>
        </w:rPr>
        <w:t>植物措施样方记录表</w:t>
      </w:r>
    </w:p>
    <w:tbl>
      <w:tblPr>
        <w:tblStyle w:val="19"/>
        <w:tblW w:w="0" w:type="auto"/>
        <w:tblInd w:w="23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773"/>
        <w:gridCol w:w="1275"/>
        <w:gridCol w:w="1959"/>
        <w:gridCol w:w="2525"/>
        <w:gridCol w:w="1020"/>
        <w:gridCol w:w="1169"/>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3" w:hRule="atLeast"/>
        </w:trPr>
        <w:tc>
          <w:tcPr>
            <w:tcW w:w="773" w:type="dxa"/>
          </w:tcPr>
          <w:p>
            <w:pPr>
              <w:pStyle w:val="24"/>
              <w:spacing w:before="178"/>
              <w:ind w:left="174"/>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地块</w:t>
            </w:r>
          </w:p>
        </w:tc>
        <w:tc>
          <w:tcPr>
            <w:tcW w:w="1275" w:type="dxa"/>
          </w:tcPr>
          <w:p>
            <w:pPr>
              <w:pStyle w:val="24"/>
              <w:spacing w:before="178"/>
              <w:ind w:left="21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样方类型</w:t>
            </w:r>
          </w:p>
        </w:tc>
        <w:tc>
          <w:tcPr>
            <w:tcW w:w="1959" w:type="dxa"/>
          </w:tcPr>
          <w:p>
            <w:pPr>
              <w:pStyle w:val="24"/>
              <w:spacing w:before="178"/>
              <w:ind w:left="229"/>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样方面积（m</w:t>
            </w:r>
            <w:r>
              <w:rPr>
                <w:rFonts w:hint="default" w:ascii="Times New Roman" w:hAnsi="Times New Roman" w:eastAsia="仿宋" w:cs="Times New Roman"/>
                <w:color w:val="auto"/>
                <w:position w:val="7"/>
                <w:sz w:val="14"/>
              </w:rPr>
              <w:t>2</w:t>
            </w:r>
            <w:r>
              <w:rPr>
                <w:rFonts w:hint="default" w:ascii="Times New Roman" w:hAnsi="Times New Roman" w:eastAsia="仿宋" w:cs="Times New Roman"/>
                <w:color w:val="auto"/>
                <w:sz w:val="21"/>
              </w:rPr>
              <w:t>）</w:t>
            </w:r>
          </w:p>
        </w:tc>
        <w:tc>
          <w:tcPr>
            <w:tcW w:w="2525" w:type="dxa"/>
          </w:tcPr>
          <w:p>
            <w:pPr>
              <w:pStyle w:val="24"/>
              <w:spacing w:before="22"/>
              <w:ind w:left="315"/>
              <w:rPr>
                <w:rFonts w:hint="default" w:ascii="Times New Roman" w:hAnsi="Times New Roman" w:eastAsia="仿宋" w:cs="Times New Roman"/>
                <w:color w:val="auto"/>
                <w:sz w:val="21"/>
              </w:rPr>
            </w:pPr>
            <w:r>
              <w:rPr>
                <w:rFonts w:hint="default" w:ascii="Times New Roman" w:hAnsi="Times New Roman" w:eastAsia="仿宋" w:cs="Times New Roman"/>
                <w:color w:val="auto"/>
                <w:spacing w:val="-2"/>
                <w:sz w:val="21"/>
              </w:rPr>
              <w:t>样方内树冠</w:t>
            </w:r>
            <w:r>
              <w:rPr>
                <w:rFonts w:hint="default" w:ascii="Times New Roman" w:hAnsi="Times New Roman" w:eastAsia="仿宋" w:cs="Times New Roman"/>
                <w:color w:val="auto"/>
                <w:sz w:val="21"/>
              </w:rPr>
              <w:t>（</w:t>
            </w:r>
            <w:r>
              <w:rPr>
                <w:rFonts w:hint="default" w:ascii="Times New Roman" w:hAnsi="Times New Roman" w:eastAsia="仿宋" w:cs="Times New Roman"/>
                <w:color w:val="auto"/>
                <w:spacing w:val="-2"/>
                <w:sz w:val="21"/>
              </w:rPr>
              <w:t>草冠</w:t>
            </w:r>
            <w:r>
              <w:rPr>
                <w:rFonts w:hint="default" w:ascii="Times New Roman" w:hAnsi="Times New Roman" w:eastAsia="仿宋" w:cs="Times New Roman"/>
                <w:color w:val="auto"/>
                <w:sz w:val="21"/>
              </w:rPr>
              <w:t>）</w:t>
            </w:r>
          </w:p>
          <w:p>
            <w:pPr>
              <w:pStyle w:val="24"/>
              <w:spacing w:before="43"/>
              <w:ind w:left="303"/>
              <w:rPr>
                <w:rFonts w:hint="default" w:ascii="Times New Roman" w:hAnsi="Times New Roman" w:eastAsia="仿宋" w:cs="Times New Roman"/>
                <w:color w:val="auto"/>
                <w:sz w:val="21"/>
              </w:rPr>
            </w:pPr>
            <w:r>
              <w:rPr>
                <w:rFonts w:hint="default" w:ascii="Times New Roman" w:hAnsi="Times New Roman" w:eastAsia="仿宋" w:cs="Times New Roman"/>
                <w:color w:val="auto"/>
                <w:spacing w:val="-3"/>
                <w:sz w:val="21"/>
              </w:rPr>
              <w:t>垂直投影面积</w:t>
            </w:r>
            <w:r>
              <w:rPr>
                <w:rFonts w:hint="default" w:ascii="Times New Roman" w:hAnsi="Times New Roman" w:eastAsia="仿宋" w:cs="Times New Roman"/>
                <w:color w:val="auto"/>
                <w:spacing w:val="-1"/>
                <w:sz w:val="21"/>
              </w:rPr>
              <w:t>（m</w:t>
            </w:r>
            <w:r>
              <w:rPr>
                <w:rFonts w:hint="default" w:ascii="Times New Roman" w:hAnsi="Times New Roman" w:eastAsia="仿宋" w:cs="Times New Roman"/>
                <w:color w:val="auto"/>
                <w:spacing w:val="-1"/>
                <w:position w:val="7"/>
                <w:sz w:val="14"/>
              </w:rPr>
              <w:t>2</w:t>
            </w:r>
            <w:r>
              <w:rPr>
                <w:rFonts w:hint="default" w:ascii="Times New Roman" w:hAnsi="Times New Roman" w:eastAsia="仿宋" w:cs="Times New Roman"/>
                <w:color w:val="auto"/>
                <w:spacing w:val="-1"/>
                <w:sz w:val="21"/>
              </w:rPr>
              <w:t>）</w:t>
            </w:r>
          </w:p>
        </w:tc>
        <w:tc>
          <w:tcPr>
            <w:tcW w:w="1020" w:type="dxa"/>
          </w:tcPr>
          <w:p>
            <w:pPr>
              <w:pStyle w:val="24"/>
              <w:spacing w:before="178"/>
              <w:ind w:left="192"/>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郁闭度</w:t>
            </w:r>
          </w:p>
        </w:tc>
        <w:tc>
          <w:tcPr>
            <w:tcW w:w="1169" w:type="dxa"/>
          </w:tcPr>
          <w:p>
            <w:pPr>
              <w:pStyle w:val="24"/>
              <w:spacing w:before="178"/>
              <w:ind w:left="161"/>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调查时间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73" w:type="dxa"/>
          </w:tcPr>
          <w:p>
            <w:pPr>
              <w:pStyle w:val="24"/>
              <w:rPr>
                <w:rFonts w:hint="default" w:ascii="Times New Roman" w:hAnsi="Times New Roman" w:cs="Times New Roman"/>
                <w:color w:val="auto"/>
                <w:sz w:val="22"/>
              </w:rPr>
            </w:pPr>
          </w:p>
        </w:tc>
        <w:tc>
          <w:tcPr>
            <w:tcW w:w="1275" w:type="dxa"/>
          </w:tcPr>
          <w:p>
            <w:pPr>
              <w:pStyle w:val="24"/>
              <w:rPr>
                <w:rFonts w:hint="default" w:ascii="Times New Roman" w:hAnsi="Times New Roman" w:cs="Times New Roman"/>
                <w:color w:val="auto"/>
                <w:sz w:val="22"/>
              </w:rPr>
            </w:pPr>
          </w:p>
        </w:tc>
        <w:tc>
          <w:tcPr>
            <w:tcW w:w="1959" w:type="dxa"/>
          </w:tcPr>
          <w:p>
            <w:pPr>
              <w:pStyle w:val="24"/>
              <w:rPr>
                <w:rFonts w:hint="default" w:ascii="Times New Roman" w:hAnsi="Times New Roman" w:cs="Times New Roman"/>
                <w:color w:val="auto"/>
                <w:sz w:val="22"/>
              </w:rPr>
            </w:pPr>
          </w:p>
        </w:tc>
        <w:tc>
          <w:tcPr>
            <w:tcW w:w="2525" w:type="dxa"/>
          </w:tcPr>
          <w:p>
            <w:pPr>
              <w:pStyle w:val="24"/>
              <w:rPr>
                <w:rFonts w:hint="default" w:ascii="Times New Roman" w:hAnsi="Times New Roman" w:cs="Times New Roman"/>
                <w:color w:val="auto"/>
                <w:sz w:val="22"/>
              </w:rPr>
            </w:pPr>
          </w:p>
        </w:tc>
        <w:tc>
          <w:tcPr>
            <w:tcW w:w="1020" w:type="dxa"/>
          </w:tcPr>
          <w:p>
            <w:pPr>
              <w:pStyle w:val="24"/>
              <w:rPr>
                <w:rFonts w:hint="default" w:ascii="Times New Roman" w:hAnsi="Times New Roman" w:cs="Times New Roman"/>
                <w:color w:val="auto"/>
                <w:sz w:val="22"/>
              </w:rPr>
            </w:pPr>
          </w:p>
        </w:tc>
        <w:tc>
          <w:tcPr>
            <w:tcW w:w="1169" w:type="dxa"/>
          </w:tcPr>
          <w:p>
            <w:pPr>
              <w:pStyle w:val="24"/>
              <w:rPr>
                <w:rFonts w:hint="default" w:ascii="Times New Roman" w:hAnsi="Times New Roman" w:cs="Times New Roman"/>
                <w:color w:val="auto"/>
                <w:sz w:val="22"/>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trPr>
        <w:tc>
          <w:tcPr>
            <w:tcW w:w="773" w:type="dxa"/>
          </w:tcPr>
          <w:p>
            <w:pPr>
              <w:pStyle w:val="24"/>
              <w:rPr>
                <w:rFonts w:hint="default" w:ascii="Times New Roman" w:hAnsi="Times New Roman" w:cs="Times New Roman"/>
                <w:color w:val="auto"/>
                <w:sz w:val="22"/>
              </w:rPr>
            </w:pPr>
          </w:p>
        </w:tc>
        <w:tc>
          <w:tcPr>
            <w:tcW w:w="1275" w:type="dxa"/>
          </w:tcPr>
          <w:p>
            <w:pPr>
              <w:pStyle w:val="24"/>
              <w:rPr>
                <w:rFonts w:hint="default" w:ascii="Times New Roman" w:hAnsi="Times New Roman" w:cs="Times New Roman"/>
                <w:color w:val="auto"/>
                <w:sz w:val="22"/>
              </w:rPr>
            </w:pPr>
          </w:p>
        </w:tc>
        <w:tc>
          <w:tcPr>
            <w:tcW w:w="1959" w:type="dxa"/>
          </w:tcPr>
          <w:p>
            <w:pPr>
              <w:pStyle w:val="24"/>
              <w:rPr>
                <w:rFonts w:hint="default" w:ascii="Times New Roman" w:hAnsi="Times New Roman" w:cs="Times New Roman"/>
                <w:color w:val="auto"/>
                <w:sz w:val="22"/>
              </w:rPr>
            </w:pPr>
          </w:p>
        </w:tc>
        <w:tc>
          <w:tcPr>
            <w:tcW w:w="2525" w:type="dxa"/>
          </w:tcPr>
          <w:p>
            <w:pPr>
              <w:pStyle w:val="24"/>
              <w:rPr>
                <w:rFonts w:hint="default" w:ascii="Times New Roman" w:hAnsi="Times New Roman" w:cs="Times New Roman"/>
                <w:color w:val="auto"/>
                <w:sz w:val="22"/>
              </w:rPr>
            </w:pPr>
          </w:p>
        </w:tc>
        <w:tc>
          <w:tcPr>
            <w:tcW w:w="1020" w:type="dxa"/>
          </w:tcPr>
          <w:p>
            <w:pPr>
              <w:pStyle w:val="24"/>
              <w:rPr>
                <w:rFonts w:hint="default" w:ascii="Times New Roman" w:hAnsi="Times New Roman" w:cs="Times New Roman"/>
                <w:color w:val="auto"/>
                <w:sz w:val="22"/>
              </w:rPr>
            </w:pPr>
          </w:p>
        </w:tc>
        <w:tc>
          <w:tcPr>
            <w:tcW w:w="1169" w:type="dxa"/>
          </w:tcPr>
          <w:p>
            <w:pPr>
              <w:pStyle w:val="24"/>
              <w:rPr>
                <w:rFonts w:hint="default" w:ascii="Times New Roman" w:hAnsi="Times New Roman" w:cs="Times New Roman"/>
                <w:color w:val="auto"/>
                <w:sz w:val="22"/>
              </w:rPr>
            </w:pPr>
          </w:p>
        </w:tc>
      </w:tr>
    </w:tbl>
    <w:p>
      <w:pPr>
        <w:spacing w:after="0"/>
        <w:rPr>
          <w:rFonts w:hint="default" w:ascii="Times New Roman" w:hAnsi="Times New Roman" w:cs="Times New Roman"/>
          <w:color w:val="auto"/>
          <w:sz w:val="22"/>
        </w:rPr>
        <w:sectPr>
          <w:type w:val="continuous"/>
          <w:pgSz w:w="11910" w:h="16840"/>
          <w:pgMar w:top="1440" w:right="1440" w:bottom="1440" w:left="1440" w:header="720" w:footer="720" w:gutter="0"/>
          <w:pgNumType w:fmt="decimal"/>
          <w:cols w:space="720" w:num="1"/>
        </w:sectPr>
      </w:pPr>
    </w:p>
    <w:p>
      <w:pPr>
        <w:tabs>
          <w:tab w:val="left" w:pos="4006"/>
        </w:tabs>
        <w:spacing w:before="138" w:after="17"/>
        <w:ind w:left="2784" w:right="0" w:firstLine="0"/>
        <w:jc w:val="left"/>
        <w:rPr>
          <w:rFonts w:hint="default" w:ascii="Times New Roman" w:hAnsi="Times New Roman" w:eastAsia="仿宋" w:cs="Times New Roman"/>
          <w:color w:val="auto"/>
          <w:sz w:val="24"/>
        </w:rPr>
      </w:pPr>
      <w:r>
        <w:rPr>
          <w:rFonts w:hint="default" w:ascii="Times New Roman" w:hAnsi="Times New Roman" w:cs="Times New Roman"/>
          <w:color w:val="auto"/>
          <w:sz w:val="24"/>
        </w:rPr>
        <w:t>表</w:t>
      </w:r>
      <w:r>
        <w:rPr>
          <w:rFonts w:hint="default" w:ascii="Times New Roman" w:hAnsi="Times New Roman" w:eastAsia="Times New Roman" w:cs="Times New Roman"/>
          <w:b/>
          <w:color w:val="auto"/>
          <w:sz w:val="24"/>
        </w:rPr>
        <w:t>4.1-6</w:t>
      </w:r>
      <w:r>
        <w:rPr>
          <w:rFonts w:hint="default" w:ascii="Times New Roman" w:hAnsi="Times New Roman" w:eastAsia="Times New Roman" w:cs="Times New Roman"/>
          <w:b/>
          <w:color w:val="auto"/>
          <w:sz w:val="24"/>
        </w:rPr>
        <w:tab/>
      </w:r>
      <w:r>
        <w:rPr>
          <w:rFonts w:hint="default" w:ascii="Times New Roman" w:hAnsi="Times New Roman" w:eastAsia="仿宋" w:cs="Times New Roman"/>
          <w:color w:val="auto"/>
          <w:sz w:val="24"/>
        </w:rPr>
        <w:t>植物措施监测记录表</w:t>
      </w:r>
    </w:p>
    <w:tbl>
      <w:tblPr>
        <w:tblStyle w:val="19"/>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96"/>
        <w:gridCol w:w="672"/>
        <w:gridCol w:w="674"/>
        <w:gridCol w:w="688"/>
        <w:gridCol w:w="818"/>
        <w:gridCol w:w="681"/>
        <w:gridCol w:w="695"/>
        <w:gridCol w:w="791"/>
        <w:gridCol w:w="1199"/>
        <w:gridCol w:w="750"/>
        <w:gridCol w:w="824"/>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87" w:hRule="atLeast"/>
        </w:trPr>
        <w:tc>
          <w:tcPr>
            <w:tcW w:w="696" w:type="dxa"/>
          </w:tcPr>
          <w:p>
            <w:pPr>
              <w:pStyle w:val="24"/>
              <w:rPr>
                <w:rFonts w:hint="default" w:ascii="Times New Roman" w:hAnsi="Times New Roman" w:eastAsia="仿宋" w:cs="Times New Roman"/>
                <w:color w:val="auto"/>
                <w:sz w:val="20"/>
              </w:rPr>
            </w:pPr>
          </w:p>
          <w:p>
            <w:pPr>
              <w:pStyle w:val="24"/>
              <w:spacing w:before="152"/>
              <w:ind w:left="117" w:right="103"/>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编号</w:t>
            </w:r>
          </w:p>
        </w:tc>
        <w:tc>
          <w:tcPr>
            <w:tcW w:w="672" w:type="dxa"/>
          </w:tcPr>
          <w:p>
            <w:pPr>
              <w:pStyle w:val="24"/>
              <w:spacing w:before="3"/>
              <w:rPr>
                <w:rFonts w:hint="default" w:ascii="Times New Roman" w:hAnsi="Times New Roman" w:eastAsia="仿宋" w:cs="Times New Roman"/>
                <w:color w:val="auto"/>
                <w:sz w:val="21"/>
              </w:rPr>
            </w:pPr>
          </w:p>
          <w:p>
            <w:pPr>
              <w:pStyle w:val="24"/>
              <w:spacing w:line="244" w:lineRule="auto"/>
              <w:ind w:left="124" w:right="108"/>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监测日期</w:t>
            </w:r>
          </w:p>
        </w:tc>
        <w:tc>
          <w:tcPr>
            <w:tcW w:w="674" w:type="dxa"/>
          </w:tcPr>
          <w:p>
            <w:pPr>
              <w:pStyle w:val="24"/>
              <w:spacing w:before="137" w:line="242" w:lineRule="auto"/>
              <w:ind w:left="126" w:right="107"/>
              <w:jc w:val="both"/>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位置经度纬度</w:t>
            </w:r>
          </w:p>
        </w:tc>
        <w:tc>
          <w:tcPr>
            <w:tcW w:w="688" w:type="dxa"/>
          </w:tcPr>
          <w:p>
            <w:pPr>
              <w:pStyle w:val="24"/>
              <w:spacing w:before="3"/>
              <w:rPr>
                <w:rFonts w:hint="default" w:ascii="Times New Roman" w:hAnsi="Times New Roman" w:eastAsia="仿宋" w:cs="Times New Roman"/>
                <w:color w:val="auto"/>
                <w:sz w:val="21"/>
              </w:rPr>
            </w:pPr>
          </w:p>
          <w:p>
            <w:pPr>
              <w:pStyle w:val="24"/>
              <w:spacing w:line="244" w:lineRule="auto"/>
              <w:ind w:left="132" w:right="114" w:firstLine="2"/>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监测分区</w:t>
            </w:r>
          </w:p>
        </w:tc>
        <w:tc>
          <w:tcPr>
            <w:tcW w:w="818" w:type="dxa"/>
          </w:tcPr>
          <w:p>
            <w:pPr>
              <w:pStyle w:val="24"/>
              <w:spacing w:before="3"/>
              <w:rPr>
                <w:rFonts w:hint="default" w:ascii="Times New Roman" w:hAnsi="Times New Roman" w:eastAsia="仿宋" w:cs="Times New Roman"/>
                <w:color w:val="auto"/>
                <w:sz w:val="21"/>
              </w:rPr>
            </w:pPr>
          </w:p>
          <w:p>
            <w:pPr>
              <w:pStyle w:val="24"/>
              <w:spacing w:line="244" w:lineRule="auto"/>
              <w:ind w:left="197" w:right="18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措施类型</w:t>
            </w:r>
          </w:p>
        </w:tc>
        <w:tc>
          <w:tcPr>
            <w:tcW w:w="681" w:type="dxa"/>
          </w:tcPr>
          <w:p>
            <w:pPr>
              <w:pStyle w:val="24"/>
              <w:spacing w:before="3"/>
              <w:rPr>
                <w:rFonts w:hint="default" w:ascii="Times New Roman" w:hAnsi="Times New Roman" w:eastAsia="仿宋" w:cs="Times New Roman"/>
                <w:color w:val="auto"/>
                <w:sz w:val="21"/>
              </w:rPr>
            </w:pPr>
          </w:p>
          <w:p>
            <w:pPr>
              <w:pStyle w:val="24"/>
              <w:spacing w:line="244" w:lineRule="auto"/>
              <w:ind w:left="133" w:right="108"/>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开工日期</w:t>
            </w:r>
          </w:p>
        </w:tc>
        <w:tc>
          <w:tcPr>
            <w:tcW w:w="695" w:type="dxa"/>
          </w:tcPr>
          <w:p>
            <w:pPr>
              <w:pStyle w:val="24"/>
              <w:spacing w:before="3"/>
              <w:rPr>
                <w:rFonts w:hint="default" w:ascii="Times New Roman" w:hAnsi="Times New Roman" w:eastAsia="仿宋" w:cs="Times New Roman"/>
                <w:color w:val="auto"/>
                <w:sz w:val="21"/>
              </w:rPr>
            </w:pPr>
          </w:p>
          <w:p>
            <w:pPr>
              <w:pStyle w:val="24"/>
              <w:spacing w:line="244" w:lineRule="auto"/>
              <w:ind w:left="138" w:right="116"/>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完成日期</w:t>
            </w:r>
          </w:p>
        </w:tc>
        <w:tc>
          <w:tcPr>
            <w:tcW w:w="791" w:type="dxa"/>
          </w:tcPr>
          <w:p>
            <w:pPr>
              <w:pStyle w:val="24"/>
              <w:spacing w:before="1" w:line="242" w:lineRule="auto"/>
              <w:ind w:left="187" w:right="163"/>
              <w:jc w:val="both"/>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措施面积及数</w:t>
            </w:r>
          </w:p>
          <w:p>
            <w:pPr>
              <w:pStyle w:val="24"/>
              <w:spacing w:line="251" w:lineRule="exact"/>
              <w:ind w:left="21"/>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w w:val="100"/>
                <w:sz w:val="21"/>
              </w:rPr>
              <w:t>量</w:t>
            </w:r>
          </w:p>
        </w:tc>
        <w:tc>
          <w:tcPr>
            <w:tcW w:w="1199" w:type="dxa"/>
          </w:tcPr>
          <w:p>
            <w:pPr>
              <w:pStyle w:val="24"/>
              <w:spacing w:before="3"/>
              <w:rPr>
                <w:rFonts w:hint="default" w:ascii="Times New Roman" w:hAnsi="Times New Roman" w:eastAsia="仿宋" w:cs="Times New Roman"/>
                <w:color w:val="auto"/>
                <w:sz w:val="21"/>
              </w:rPr>
            </w:pPr>
          </w:p>
          <w:p>
            <w:pPr>
              <w:pStyle w:val="24"/>
              <w:ind w:left="23"/>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覆盖度</w:t>
            </w:r>
          </w:p>
          <w:p>
            <w:pPr>
              <w:pStyle w:val="24"/>
              <w:spacing w:before="4"/>
              <w:ind w:left="93"/>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（郁闭度）</w:t>
            </w:r>
          </w:p>
        </w:tc>
        <w:tc>
          <w:tcPr>
            <w:tcW w:w="750" w:type="dxa"/>
          </w:tcPr>
          <w:p>
            <w:pPr>
              <w:pStyle w:val="24"/>
              <w:spacing w:before="3"/>
              <w:rPr>
                <w:rFonts w:hint="default" w:ascii="Times New Roman" w:hAnsi="Times New Roman" w:eastAsia="仿宋" w:cs="Times New Roman"/>
                <w:color w:val="auto"/>
                <w:sz w:val="21"/>
              </w:rPr>
            </w:pPr>
          </w:p>
          <w:p>
            <w:pPr>
              <w:pStyle w:val="24"/>
              <w:spacing w:line="244" w:lineRule="auto"/>
              <w:ind w:left="273" w:right="142" w:hanging="106"/>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成活率</w:t>
            </w:r>
          </w:p>
        </w:tc>
        <w:tc>
          <w:tcPr>
            <w:tcW w:w="824" w:type="dxa"/>
          </w:tcPr>
          <w:p>
            <w:pPr>
              <w:pStyle w:val="24"/>
              <w:spacing w:before="137" w:line="242" w:lineRule="auto"/>
              <w:ind w:left="207" w:right="176"/>
              <w:jc w:val="both"/>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问题及建议</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5" w:hRule="atLeast"/>
        </w:trPr>
        <w:tc>
          <w:tcPr>
            <w:tcW w:w="696" w:type="dxa"/>
          </w:tcPr>
          <w:p>
            <w:pPr>
              <w:pStyle w:val="24"/>
              <w:spacing w:before="47"/>
              <w:ind w:left="14"/>
              <w:jc w:val="center"/>
              <w:rPr>
                <w:rFonts w:hint="default" w:ascii="Times New Roman" w:hAnsi="Times New Roman" w:cs="Times New Roman"/>
                <w:color w:val="auto"/>
                <w:sz w:val="21"/>
              </w:rPr>
            </w:pPr>
            <w:r>
              <w:rPr>
                <w:rFonts w:hint="default" w:ascii="Times New Roman" w:hAnsi="Times New Roman" w:cs="Times New Roman"/>
                <w:color w:val="auto"/>
                <w:w w:val="100"/>
                <w:sz w:val="21"/>
              </w:rPr>
              <w:t>1</w:t>
            </w:r>
          </w:p>
        </w:tc>
        <w:tc>
          <w:tcPr>
            <w:tcW w:w="672" w:type="dxa"/>
          </w:tcPr>
          <w:p>
            <w:pPr>
              <w:pStyle w:val="24"/>
              <w:rPr>
                <w:rFonts w:hint="default" w:ascii="Times New Roman" w:hAnsi="Times New Roman" w:cs="Times New Roman"/>
                <w:color w:val="auto"/>
                <w:sz w:val="22"/>
              </w:rPr>
            </w:pPr>
          </w:p>
        </w:tc>
        <w:tc>
          <w:tcPr>
            <w:tcW w:w="674" w:type="dxa"/>
          </w:tcPr>
          <w:p>
            <w:pPr>
              <w:pStyle w:val="24"/>
              <w:rPr>
                <w:rFonts w:hint="default" w:ascii="Times New Roman" w:hAnsi="Times New Roman" w:cs="Times New Roman"/>
                <w:color w:val="auto"/>
                <w:sz w:val="22"/>
              </w:rPr>
            </w:pPr>
          </w:p>
        </w:tc>
        <w:tc>
          <w:tcPr>
            <w:tcW w:w="688" w:type="dxa"/>
          </w:tcPr>
          <w:p>
            <w:pPr>
              <w:pStyle w:val="24"/>
              <w:rPr>
                <w:rFonts w:hint="default" w:ascii="Times New Roman" w:hAnsi="Times New Roman" w:cs="Times New Roman"/>
                <w:color w:val="auto"/>
                <w:sz w:val="22"/>
              </w:rPr>
            </w:pPr>
          </w:p>
        </w:tc>
        <w:tc>
          <w:tcPr>
            <w:tcW w:w="818" w:type="dxa"/>
          </w:tcPr>
          <w:p>
            <w:pPr>
              <w:pStyle w:val="24"/>
              <w:rPr>
                <w:rFonts w:hint="default" w:ascii="Times New Roman" w:hAnsi="Times New Roman" w:cs="Times New Roman"/>
                <w:color w:val="auto"/>
                <w:sz w:val="22"/>
              </w:rPr>
            </w:pPr>
          </w:p>
        </w:tc>
        <w:tc>
          <w:tcPr>
            <w:tcW w:w="681" w:type="dxa"/>
          </w:tcPr>
          <w:p>
            <w:pPr>
              <w:pStyle w:val="24"/>
              <w:rPr>
                <w:rFonts w:hint="default" w:ascii="Times New Roman" w:hAnsi="Times New Roman" w:cs="Times New Roman"/>
                <w:color w:val="auto"/>
                <w:sz w:val="22"/>
              </w:rPr>
            </w:pPr>
          </w:p>
        </w:tc>
        <w:tc>
          <w:tcPr>
            <w:tcW w:w="695" w:type="dxa"/>
          </w:tcPr>
          <w:p>
            <w:pPr>
              <w:pStyle w:val="24"/>
              <w:rPr>
                <w:rFonts w:hint="default" w:ascii="Times New Roman" w:hAnsi="Times New Roman" w:cs="Times New Roman"/>
                <w:color w:val="auto"/>
                <w:sz w:val="22"/>
              </w:rPr>
            </w:pPr>
          </w:p>
        </w:tc>
        <w:tc>
          <w:tcPr>
            <w:tcW w:w="791" w:type="dxa"/>
          </w:tcPr>
          <w:p>
            <w:pPr>
              <w:pStyle w:val="24"/>
              <w:rPr>
                <w:rFonts w:hint="default" w:ascii="Times New Roman" w:hAnsi="Times New Roman" w:cs="Times New Roman"/>
                <w:color w:val="auto"/>
                <w:sz w:val="22"/>
              </w:rPr>
            </w:pPr>
          </w:p>
        </w:tc>
        <w:tc>
          <w:tcPr>
            <w:tcW w:w="1199" w:type="dxa"/>
          </w:tcPr>
          <w:p>
            <w:pPr>
              <w:pStyle w:val="24"/>
              <w:rPr>
                <w:rFonts w:hint="default" w:ascii="Times New Roman" w:hAnsi="Times New Roman" w:cs="Times New Roman"/>
                <w:color w:val="auto"/>
                <w:sz w:val="22"/>
              </w:rPr>
            </w:pPr>
          </w:p>
        </w:tc>
        <w:tc>
          <w:tcPr>
            <w:tcW w:w="750" w:type="dxa"/>
          </w:tcPr>
          <w:p>
            <w:pPr>
              <w:pStyle w:val="24"/>
              <w:rPr>
                <w:rFonts w:hint="default" w:ascii="Times New Roman" w:hAnsi="Times New Roman" w:cs="Times New Roman"/>
                <w:color w:val="auto"/>
                <w:sz w:val="22"/>
              </w:rPr>
            </w:pPr>
          </w:p>
        </w:tc>
        <w:tc>
          <w:tcPr>
            <w:tcW w:w="824" w:type="dxa"/>
          </w:tcPr>
          <w:p>
            <w:pPr>
              <w:pStyle w:val="24"/>
              <w:rPr>
                <w:rFonts w:hint="default" w:ascii="Times New Roman" w:hAnsi="Times New Roman" w:cs="Times New Roman"/>
                <w:color w:val="auto"/>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337" w:hRule="atLeast"/>
        </w:trPr>
        <w:tc>
          <w:tcPr>
            <w:tcW w:w="696" w:type="dxa"/>
          </w:tcPr>
          <w:p>
            <w:pPr>
              <w:pStyle w:val="24"/>
              <w:spacing w:before="97" w:line="220" w:lineRule="exact"/>
              <w:ind w:left="117" w:right="103"/>
              <w:jc w:val="center"/>
              <w:rPr>
                <w:rFonts w:hint="default" w:ascii="Times New Roman" w:hAnsi="Times New Roman" w:cs="Times New Roman"/>
                <w:color w:val="auto"/>
                <w:sz w:val="21"/>
              </w:rPr>
            </w:pPr>
            <w:r>
              <w:rPr>
                <w:rFonts w:hint="default" w:ascii="Times New Roman" w:hAnsi="Times New Roman" w:cs="Times New Roman"/>
                <w:color w:val="auto"/>
                <w:sz w:val="21"/>
              </w:rPr>
              <w:t>……</w:t>
            </w:r>
          </w:p>
        </w:tc>
        <w:tc>
          <w:tcPr>
            <w:tcW w:w="672" w:type="dxa"/>
          </w:tcPr>
          <w:p>
            <w:pPr>
              <w:pStyle w:val="24"/>
              <w:rPr>
                <w:rFonts w:hint="default" w:ascii="Times New Roman" w:hAnsi="Times New Roman" w:cs="Times New Roman"/>
                <w:color w:val="auto"/>
                <w:sz w:val="22"/>
              </w:rPr>
            </w:pPr>
          </w:p>
        </w:tc>
        <w:tc>
          <w:tcPr>
            <w:tcW w:w="674" w:type="dxa"/>
          </w:tcPr>
          <w:p>
            <w:pPr>
              <w:pStyle w:val="24"/>
              <w:rPr>
                <w:rFonts w:hint="default" w:ascii="Times New Roman" w:hAnsi="Times New Roman" w:cs="Times New Roman"/>
                <w:color w:val="auto"/>
                <w:sz w:val="22"/>
              </w:rPr>
            </w:pPr>
          </w:p>
        </w:tc>
        <w:tc>
          <w:tcPr>
            <w:tcW w:w="688" w:type="dxa"/>
          </w:tcPr>
          <w:p>
            <w:pPr>
              <w:pStyle w:val="24"/>
              <w:rPr>
                <w:rFonts w:hint="default" w:ascii="Times New Roman" w:hAnsi="Times New Roman" w:cs="Times New Roman"/>
                <w:color w:val="auto"/>
                <w:sz w:val="22"/>
              </w:rPr>
            </w:pPr>
          </w:p>
        </w:tc>
        <w:tc>
          <w:tcPr>
            <w:tcW w:w="818" w:type="dxa"/>
          </w:tcPr>
          <w:p>
            <w:pPr>
              <w:pStyle w:val="24"/>
              <w:rPr>
                <w:rFonts w:hint="default" w:ascii="Times New Roman" w:hAnsi="Times New Roman" w:cs="Times New Roman"/>
                <w:color w:val="auto"/>
                <w:sz w:val="22"/>
              </w:rPr>
            </w:pPr>
          </w:p>
        </w:tc>
        <w:tc>
          <w:tcPr>
            <w:tcW w:w="681" w:type="dxa"/>
          </w:tcPr>
          <w:p>
            <w:pPr>
              <w:pStyle w:val="24"/>
              <w:rPr>
                <w:rFonts w:hint="default" w:ascii="Times New Roman" w:hAnsi="Times New Roman" w:cs="Times New Roman"/>
                <w:color w:val="auto"/>
                <w:sz w:val="22"/>
              </w:rPr>
            </w:pPr>
          </w:p>
        </w:tc>
        <w:tc>
          <w:tcPr>
            <w:tcW w:w="695" w:type="dxa"/>
          </w:tcPr>
          <w:p>
            <w:pPr>
              <w:pStyle w:val="24"/>
              <w:rPr>
                <w:rFonts w:hint="default" w:ascii="Times New Roman" w:hAnsi="Times New Roman" w:cs="Times New Roman"/>
                <w:color w:val="auto"/>
                <w:sz w:val="22"/>
              </w:rPr>
            </w:pPr>
          </w:p>
        </w:tc>
        <w:tc>
          <w:tcPr>
            <w:tcW w:w="791" w:type="dxa"/>
          </w:tcPr>
          <w:p>
            <w:pPr>
              <w:pStyle w:val="24"/>
              <w:rPr>
                <w:rFonts w:hint="default" w:ascii="Times New Roman" w:hAnsi="Times New Roman" w:cs="Times New Roman"/>
                <w:color w:val="auto"/>
                <w:sz w:val="22"/>
              </w:rPr>
            </w:pPr>
          </w:p>
        </w:tc>
        <w:tc>
          <w:tcPr>
            <w:tcW w:w="1199" w:type="dxa"/>
          </w:tcPr>
          <w:p>
            <w:pPr>
              <w:pStyle w:val="24"/>
              <w:rPr>
                <w:rFonts w:hint="default" w:ascii="Times New Roman" w:hAnsi="Times New Roman" w:cs="Times New Roman"/>
                <w:color w:val="auto"/>
                <w:sz w:val="22"/>
              </w:rPr>
            </w:pPr>
          </w:p>
        </w:tc>
        <w:tc>
          <w:tcPr>
            <w:tcW w:w="750" w:type="dxa"/>
          </w:tcPr>
          <w:p>
            <w:pPr>
              <w:pStyle w:val="24"/>
              <w:rPr>
                <w:rFonts w:hint="default" w:ascii="Times New Roman" w:hAnsi="Times New Roman" w:cs="Times New Roman"/>
                <w:color w:val="auto"/>
                <w:sz w:val="22"/>
              </w:rPr>
            </w:pPr>
          </w:p>
        </w:tc>
        <w:tc>
          <w:tcPr>
            <w:tcW w:w="824" w:type="dxa"/>
          </w:tcPr>
          <w:p>
            <w:pPr>
              <w:pStyle w:val="24"/>
              <w:rPr>
                <w:rFonts w:hint="default" w:ascii="Times New Roman" w:hAnsi="Times New Roman" w:cs="Times New Roman"/>
                <w:color w:val="auto"/>
                <w:sz w:val="22"/>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水土流失危害监测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根据水土流失状况，分析已经发生或潜在的水土流失危害。数据记录表格见表4.2-7。</w:t>
      </w:r>
    </w:p>
    <w:p>
      <w:pPr>
        <w:tabs>
          <w:tab w:val="left" w:pos="3790"/>
        </w:tabs>
        <w:spacing w:before="101"/>
        <w:ind w:left="2568" w:right="0" w:firstLine="0"/>
        <w:jc w:val="left"/>
        <w:rPr>
          <w:rFonts w:hint="default" w:ascii="Times New Roman" w:hAnsi="Times New Roman" w:eastAsia="仿宋" w:cs="Times New Roman"/>
          <w:color w:val="auto"/>
          <w:sz w:val="24"/>
        </w:rPr>
      </w:pPr>
      <w:r>
        <w:rPr>
          <w:rFonts w:hint="default" w:ascii="Times New Roman" w:hAnsi="Times New Roman" w:cs="Times New Roman"/>
          <w:color w:val="auto"/>
          <w:sz w:val="24"/>
        </w:rPr>
        <w:t>表</w:t>
      </w:r>
      <w:r>
        <w:rPr>
          <w:rFonts w:hint="default" w:ascii="Times New Roman" w:hAnsi="Times New Roman" w:eastAsia="Times New Roman" w:cs="Times New Roman"/>
          <w:b/>
          <w:color w:val="auto"/>
          <w:sz w:val="24"/>
        </w:rPr>
        <w:t>4.2-7</w:t>
      </w:r>
      <w:r>
        <w:rPr>
          <w:rFonts w:hint="default" w:ascii="Times New Roman" w:hAnsi="Times New Roman" w:eastAsia="Times New Roman" w:cs="Times New Roman"/>
          <w:b/>
          <w:color w:val="auto"/>
          <w:sz w:val="24"/>
        </w:rPr>
        <w:tab/>
      </w:r>
      <w:r>
        <w:rPr>
          <w:rFonts w:hint="default" w:ascii="Times New Roman" w:hAnsi="Times New Roman" w:eastAsia="仿宋" w:cs="Times New Roman"/>
          <w:color w:val="auto"/>
          <w:sz w:val="24"/>
        </w:rPr>
        <w:t>水土流失危害监测记录表</w:t>
      </w:r>
    </w:p>
    <w:p>
      <w:pPr>
        <w:pStyle w:val="8"/>
        <w:spacing w:before="5"/>
        <w:rPr>
          <w:rFonts w:hint="default" w:ascii="Times New Roman" w:hAnsi="Times New Roman" w:eastAsia="仿宋" w:cs="Times New Roman"/>
          <w:color w:val="auto"/>
          <w:sz w:val="7"/>
        </w:rPr>
      </w:pPr>
    </w:p>
    <w:tbl>
      <w:tblPr>
        <w:tblStyle w:val="19"/>
        <w:tblW w:w="0" w:type="auto"/>
        <w:tblInd w:w="241"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684"/>
        <w:gridCol w:w="814"/>
        <w:gridCol w:w="941"/>
        <w:gridCol w:w="826"/>
        <w:gridCol w:w="680"/>
        <w:gridCol w:w="553"/>
        <w:gridCol w:w="126"/>
        <w:gridCol w:w="1076"/>
        <w:gridCol w:w="344"/>
        <w:gridCol w:w="577"/>
        <w:gridCol w:w="829"/>
        <w:gridCol w:w="267"/>
        <w:gridCol w:w="836"/>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5" w:hRule="atLeast"/>
        </w:trPr>
        <w:tc>
          <w:tcPr>
            <w:tcW w:w="684" w:type="dxa"/>
          </w:tcPr>
          <w:p>
            <w:pPr>
              <w:pStyle w:val="24"/>
              <w:spacing w:before="137"/>
              <w:ind w:left="131"/>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位置</w:t>
            </w:r>
          </w:p>
        </w:tc>
        <w:tc>
          <w:tcPr>
            <w:tcW w:w="814" w:type="dxa"/>
          </w:tcPr>
          <w:p>
            <w:pPr>
              <w:pStyle w:val="24"/>
              <w:rPr>
                <w:rFonts w:hint="default" w:ascii="Times New Roman" w:hAnsi="Times New Roman" w:eastAsia="仿宋" w:cs="Times New Roman"/>
                <w:color w:val="auto"/>
                <w:sz w:val="22"/>
              </w:rPr>
            </w:pPr>
          </w:p>
        </w:tc>
        <w:tc>
          <w:tcPr>
            <w:tcW w:w="941" w:type="dxa"/>
          </w:tcPr>
          <w:p>
            <w:pPr>
              <w:pStyle w:val="24"/>
              <w:spacing w:before="137"/>
              <w:ind w:left="277"/>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经度</w:t>
            </w:r>
          </w:p>
        </w:tc>
        <w:tc>
          <w:tcPr>
            <w:tcW w:w="826" w:type="dxa"/>
          </w:tcPr>
          <w:p>
            <w:pPr>
              <w:pStyle w:val="24"/>
              <w:rPr>
                <w:rFonts w:hint="default" w:ascii="Times New Roman" w:hAnsi="Times New Roman" w:eastAsia="仿宋" w:cs="Times New Roman"/>
                <w:color w:val="auto"/>
                <w:sz w:val="22"/>
              </w:rPr>
            </w:pPr>
          </w:p>
        </w:tc>
        <w:tc>
          <w:tcPr>
            <w:tcW w:w="680" w:type="dxa"/>
          </w:tcPr>
          <w:p>
            <w:pPr>
              <w:pStyle w:val="24"/>
              <w:spacing w:before="137"/>
              <w:ind w:left="128"/>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纬度</w:t>
            </w:r>
          </w:p>
        </w:tc>
        <w:tc>
          <w:tcPr>
            <w:tcW w:w="679" w:type="dxa"/>
            <w:gridSpan w:val="2"/>
          </w:tcPr>
          <w:p>
            <w:pPr>
              <w:pStyle w:val="24"/>
              <w:rPr>
                <w:rFonts w:hint="default" w:ascii="Times New Roman" w:hAnsi="Times New Roman" w:eastAsia="仿宋" w:cs="Times New Roman"/>
                <w:color w:val="auto"/>
                <w:sz w:val="22"/>
              </w:rPr>
            </w:pPr>
          </w:p>
        </w:tc>
        <w:tc>
          <w:tcPr>
            <w:tcW w:w="1076" w:type="dxa"/>
          </w:tcPr>
          <w:p>
            <w:pPr>
              <w:pStyle w:val="24"/>
              <w:spacing w:before="2" w:line="270" w:lineRule="atLeast"/>
              <w:ind w:left="110" w:right="10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相对项目位置描述</w:t>
            </w:r>
          </w:p>
        </w:tc>
        <w:tc>
          <w:tcPr>
            <w:tcW w:w="921" w:type="dxa"/>
            <w:gridSpan w:val="2"/>
          </w:tcPr>
          <w:p>
            <w:pPr>
              <w:pStyle w:val="24"/>
              <w:rPr>
                <w:rFonts w:hint="default" w:ascii="Times New Roman" w:hAnsi="Times New Roman" w:eastAsia="仿宋" w:cs="Times New Roman"/>
                <w:color w:val="auto"/>
                <w:sz w:val="22"/>
              </w:rPr>
            </w:pPr>
          </w:p>
        </w:tc>
        <w:tc>
          <w:tcPr>
            <w:tcW w:w="1096" w:type="dxa"/>
            <w:gridSpan w:val="2"/>
          </w:tcPr>
          <w:p>
            <w:pPr>
              <w:pStyle w:val="24"/>
              <w:spacing w:before="137"/>
              <w:ind w:left="12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发生时间</w:t>
            </w:r>
          </w:p>
        </w:tc>
        <w:tc>
          <w:tcPr>
            <w:tcW w:w="836" w:type="dxa"/>
          </w:tcPr>
          <w:p>
            <w:pPr>
              <w:pStyle w:val="24"/>
              <w:rPr>
                <w:rFonts w:hint="default" w:ascii="Times New Roman" w:hAnsi="Times New Roman" w:eastAsia="仿宋" w:cs="Times New Roman"/>
                <w:color w:val="auto"/>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417" w:hRule="atLeast"/>
        </w:trPr>
        <w:tc>
          <w:tcPr>
            <w:tcW w:w="1498" w:type="dxa"/>
            <w:gridSpan w:val="2"/>
          </w:tcPr>
          <w:p>
            <w:pPr>
              <w:pStyle w:val="24"/>
              <w:spacing w:before="71"/>
              <w:ind w:left="117"/>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危害形式描述</w:t>
            </w:r>
          </w:p>
        </w:tc>
        <w:tc>
          <w:tcPr>
            <w:tcW w:w="7055" w:type="dxa"/>
            <w:gridSpan w:val="11"/>
          </w:tcPr>
          <w:p>
            <w:pPr>
              <w:pStyle w:val="24"/>
              <w:rPr>
                <w:rFonts w:hint="default" w:ascii="Times New Roman" w:hAnsi="Times New Roman" w:eastAsia="仿宋" w:cs="Times New Roman"/>
                <w:color w:val="auto"/>
                <w:sz w:val="22"/>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41" w:hRule="atLeast"/>
        </w:trPr>
        <w:tc>
          <w:tcPr>
            <w:tcW w:w="1498" w:type="dxa"/>
            <w:gridSpan w:val="2"/>
          </w:tcPr>
          <w:p>
            <w:pPr>
              <w:pStyle w:val="24"/>
              <w:spacing w:before="134"/>
              <w:ind w:left="328"/>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监测日期</w:t>
            </w:r>
          </w:p>
        </w:tc>
        <w:tc>
          <w:tcPr>
            <w:tcW w:w="941" w:type="dxa"/>
          </w:tcPr>
          <w:p>
            <w:pPr>
              <w:pStyle w:val="24"/>
              <w:spacing w:line="269" w:lineRule="exact"/>
              <w:ind w:left="89" w:right="107"/>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面积</w:t>
            </w:r>
          </w:p>
          <w:p>
            <w:pPr>
              <w:pStyle w:val="24"/>
              <w:spacing w:before="2" w:line="251" w:lineRule="exact"/>
              <w:ind w:left="89" w:right="107"/>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（m2）</w:t>
            </w:r>
          </w:p>
        </w:tc>
        <w:tc>
          <w:tcPr>
            <w:tcW w:w="826" w:type="dxa"/>
          </w:tcPr>
          <w:p>
            <w:pPr>
              <w:pStyle w:val="24"/>
              <w:spacing w:before="134"/>
              <w:ind w:left="183"/>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体积</w:t>
            </w:r>
          </w:p>
        </w:tc>
        <w:tc>
          <w:tcPr>
            <w:tcW w:w="1233" w:type="dxa"/>
            <w:gridSpan w:val="2"/>
          </w:tcPr>
          <w:p>
            <w:pPr>
              <w:pStyle w:val="24"/>
              <w:spacing w:before="134"/>
              <w:ind w:left="193"/>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毁坏程度</w:t>
            </w:r>
          </w:p>
        </w:tc>
        <w:tc>
          <w:tcPr>
            <w:tcW w:w="1546" w:type="dxa"/>
            <w:gridSpan w:val="3"/>
          </w:tcPr>
          <w:p>
            <w:pPr>
              <w:pStyle w:val="24"/>
              <w:spacing w:before="134"/>
              <w:ind w:left="136"/>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防护进展情况</w:t>
            </w:r>
          </w:p>
        </w:tc>
        <w:tc>
          <w:tcPr>
            <w:tcW w:w="1406" w:type="dxa"/>
            <w:gridSpan w:val="2"/>
          </w:tcPr>
          <w:p>
            <w:pPr>
              <w:pStyle w:val="24"/>
              <w:spacing w:before="134"/>
              <w:ind w:left="274"/>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其他说明</w:t>
            </w:r>
          </w:p>
        </w:tc>
        <w:tc>
          <w:tcPr>
            <w:tcW w:w="1103" w:type="dxa"/>
            <w:gridSpan w:val="2"/>
          </w:tcPr>
          <w:p>
            <w:pPr>
              <w:pStyle w:val="24"/>
              <w:spacing w:before="134"/>
              <w:ind w:left="227"/>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填表人</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5" w:hRule="atLeast"/>
        </w:trPr>
        <w:tc>
          <w:tcPr>
            <w:tcW w:w="1498" w:type="dxa"/>
            <w:gridSpan w:val="2"/>
          </w:tcPr>
          <w:p>
            <w:pPr>
              <w:pStyle w:val="24"/>
              <w:spacing w:before="7" w:line="258" w:lineRule="exact"/>
              <w:ind w:left="362"/>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年-月-日</w:t>
            </w:r>
          </w:p>
        </w:tc>
        <w:tc>
          <w:tcPr>
            <w:tcW w:w="941" w:type="dxa"/>
          </w:tcPr>
          <w:p>
            <w:pPr>
              <w:pStyle w:val="24"/>
              <w:rPr>
                <w:rFonts w:hint="default" w:ascii="Times New Roman" w:hAnsi="Times New Roman" w:eastAsia="仿宋" w:cs="Times New Roman"/>
                <w:color w:val="auto"/>
                <w:sz w:val="20"/>
              </w:rPr>
            </w:pPr>
          </w:p>
        </w:tc>
        <w:tc>
          <w:tcPr>
            <w:tcW w:w="826" w:type="dxa"/>
          </w:tcPr>
          <w:p>
            <w:pPr>
              <w:pStyle w:val="24"/>
              <w:rPr>
                <w:rFonts w:hint="default" w:ascii="Times New Roman" w:hAnsi="Times New Roman" w:eastAsia="仿宋" w:cs="Times New Roman"/>
                <w:color w:val="auto"/>
                <w:sz w:val="20"/>
              </w:rPr>
            </w:pPr>
          </w:p>
        </w:tc>
        <w:tc>
          <w:tcPr>
            <w:tcW w:w="1233" w:type="dxa"/>
            <w:gridSpan w:val="2"/>
          </w:tcPr>
          <w:p>
            <w:pPr>
              <w:pStyle w:val="24"/>
              <w:rPr>
                <w:rFonts w:hint="default" w:ascii="Times New Roman" w:hAnsi="Times New Roman" w:eastAsia="仿宋" w:cs="Times New Roman"/>
                <w:color w:val="auto"/>
                <w:sz w:val="20"/>
              </w:rPr>
            </w:pPr>
          </w:p>
        </w:tc>
        <w:tc>
          <w:tcPr>
            <w:tcW w:w="1546" w:type="dxa"/>
            <w:gridSpan w:val="3"/>
          </w:tcPr>
          <w:p>
            <w:pPr>
              <w:pStyle w:val="24"/>
              <w:rPr>
                <w:rFonts w:hint="default" w:ascii="Times New Roman" w:hAnsi="Times New Roman" w:eastAsia="仿宋" w:cs="Times New Roman"/>
                <w:color w:val="auto"/>
                <w:sz w:val="20"/>
              </w:rPr>
            </w:pPr>
          </w:p>
        </w:tc>
        <w:tc>
          <w:tcPr>
            <w:tcW w:w="1406" w:type="dxa"/>
            <w:gridSpan w:val="2"/>
          </w:tcPr>
          <w:p>
            <w:pPr>
              <w:pStyle w:val="24"/>
              <w:rPr>
                <w:rFonts w:hint="default" w:ascii="Times New Roman" w:hAnsi="Times New Roman" w:eastAsia="仿宋" w:cs="Times New Roman"/>
                <w:color w:val="auto"/>
                <w:sz w:val="20"/>
              </w:rPr>
            </w:pPr>
          </w:p>
        </w:tc>
        <w:tc>
          <w:tcPr>
            <w:tcW w:w="1103" w:type="dxa"/>
            <w:gridSpan w:val="2"/>
          </w:tcPr>
          <w:p>
            <w:pPr>
              <w:pStyle w:val="24"/>
              <w:rPr>
                <w:rFonts w:hint="default" w:ascii="Times New Roman" w:hAnsi="Times New Roman" w:eastAsia="仿宋" w:cs="Times New Roman"/>
                <w:color w:val="auto"/>
                <w:sz w:val="20"/>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86" w:hRule="atLeast"/>
        </w:trPr>
        <w:tc>
          <w:tcPr>
            <w:tcW w:w="1498" w:type="dxa"/>
            <w:gridSpan w:val="2"/>
          </w:tcPr>
          <w:p>
            <w:pPr>
              <w:pStyle w:val="24"/>
              <w:rPr>
                <w:rFonts w:hint="default" w:ascii="Times New Roman" w:hAnsi="Times New Roman" w:eastAsia="仿宋" w:cs="Times New Roman"/>
                <w:color w:val="auto"/>
                <w:sz w:val="20"/>
              </w:rPr>
            </w:pPr>
          </w:p>
        </w:tc>
        <w:tc>
          <w:tcPr>
            <w:tcW w:w="941" w:type="dxa"/>
          </w:tcPr>
          <w:p>
            <w:pPr>
              <w:pStyle w:val="24"/>
              <w:rPr>
                <w:rFonts w:hint="default" w:ascii="Times New Roman" w:hAnsi="Times New Roman" w:eastAsia="仿宋" w:cs="Times New Roman"/>
                <w:color w:val="auto"/>
                <w:sz w:val="20"/>
              </w:rPr>
            </w:pPr>
          </w:p>
        </w:tc>
        <w:tc>
          <w:tcPr>
            <w:tcW w:w="826" w:type="dxa"/>
          </w:tcPr>
          <w:p>
            <w:pPr>
              <w:pStyle w:val="24"/>
              <w:rPr>
                <w:rFonts w:hint="default" w:ascii="Times New Roman" w:hAnsi="Times New Roman" w:eastAsia="仿宋" w:cs="Times New Roman"/>
                <w:color w:val="auto"/>
                <w:sz w:val="20"/>
              </w:rPr>
            </w:pPr>
          </w:p>
        </w:tc>
        <w:tc>
          <w:tcPr>
            <w:tcW w:w="1233" w:type="dxa"/>
            <w:gridSpan w:val="2"/>
          </w:tcPr>
          <w:p>
            <w:pPr>
              <w:pStyle w:val="24"/>
              <w:rPr>
                <w:rFonts w:hint="default" w:ascii="Times New Roman" w:hAnsi="Times New Roman" w:eastAsia="仿宋" w:cs="Times New Roman"/>
                <w:color w:val="auto"/>
                <w:sz w:val="20"/>
              </w:rPr>
            </w:pPr>
          </w:p>
        </w:tc>
        <w:tc>
          <w:tcPr>
            <w:tcW w:w="1546" w:type="dxa"/>
            <w:gridSpan w:val="3"/>
          </w:tcPr>
          <w:p>
            <w:pPr>
              <w:pStyle w:val="24"/>
              <w:rPr>
                <w:rFonts w:hint="default" w:ascii="Times New Roman" w:hAnsi="Times New Roman" w:eastAsia="仿宋" w:cs="Times New Roman"/>
                <w:color w:val="auto"/>
                <w:sz w:val="20"/>
              </w:rPr>
            </w:pPr>
          </w:p>
        </w:tc>
        <w:tc>
          <w:tcPr>
            <w:tcW w:w="1406" w:type="dxa"/>
            <w:gridSpan w:val="2"/>
          </w:tcPr>
          <w:p>
            <w:pPr>
              <w:pStyle w:val="24"/>
              <w:rPr>
                <w:rFonts w:hint="default" w:ascii="Times New Roman" w:hAnsi="Times New Roman" w:eastAsia="仿宋" w:cs="Times New Roman"/>
                <w:color w:val="auto"/>
                <w:sz w:val="20"/>
              </w:rPr>
            </w:pPr>
          </w:p>
        </w:tc>
        <w:tc>
          <w:tcPr>
            <w:tcW w:w="1103" w:type="dxa"/>
            <w:gridSpan w:val="2"/>
          </w:tcPr>
          <w:p>
            <w:pPr>
              <w:pStyle w:val="24"/>
              <w:rPr>
                <w:rFonts w:hint="default" w:ascii="Times New Roman" w:hAnsi="Times New Roman" w:eastAsia="仿宋" w:cs="Times New Roman"/>
                <w:color w:val="auto"/>
                <w:sz w:val="20"/>
              </w:rPr>
            </w:pPr>
          </w:p>
        </w:tc>
      </w:tr>
    </w:tbl>
    <w:p>
      <w:pPr>
        <w:rPr>
          <w:rFonts w:hint="default" w:ascii="Times New Roman" w:hAnsi="Times New Roman" w:cs="Times New Roman"/>
          <w:color w:val="auto"/>
          <w:sz w:val="18"/>
        </w:rPr>
      </w:pPr>
      <w:r>
        <w:rPr>
          <w:rFonts w:hint="default" w:ascii="Times New Roman" w:hAnsi="Times New Roman" w:cs="Times New Roman"/>
          <w:color w:val="auto"/>
          <w:spacing w:val="-5"/>
          <w:sz w:val="18"/>
        </w:rPr>
        <w:t xml:space="preserve">危害形式描述主要包括 </w:t>
      </w:r>
      <w:r>
        <w:rPr>
          <w:rFonts w:hint="default" w:ascii="Times New Roman" w:hAnsi="Times New Roman" w:eastAsia="Times New Roman" w:cs="Times New Roman"/>
          <w:color w:val="auto"/>
          <w:sz w:val="18"/>
        </w:rPr>
        <w:t>1</w:t>
      </w:r>
      <w:r>
        <w:rPr>
          <w:rFonts w:hint="default" w:ascii="Times New Roman" w:hAnsi="Times New Roman" w:cs="Times New Roman"/>
          <w:color w:val="auto"/>
          <w:sz w:val="18"/>
        </w:rPr>
        <w:t>、掩埋或冲毁农田、道路、居民点等的数量、面积、毁坏程度。</w:t>
      </w:r>
      <w:r>
        <w:rPr>
          <w:rFonts w:hint="default" w:ascii="Times New Roman" w:hAnsi="Times New Roman" w:eastAsia="Times New Roman" w:cs="Times New Roman"/>
          <w:color w:val="auto"/>
          <w:sz w:val="18"/>
        </w:rPr>
        <w:t>2</w:t>
      </w:r>
      <w:r>
        <w:rPr>
          <w:rFonts w:hint="default" w:ascii="Times New Roman" w:hAnsi="Times New Roman" w:cs="Times New Roman"/>
          <w:color w:val="auto"/>
          <w:sz w:val="18"/>
        </w:rPr>
        <w:t>、高级公路、铁</w:t>
      </w:r>
      <w:r>
        <w:rPr>
          <w:rFonts w:hint="default" w:ascii="Times New Roman" w:hAnsi="Times New Roman" w:cs="Times New Roman"/>
          <w:color w:val="auto"/>
          <w:spacing w:val="-9"/>
          <w:sz w:val="18"/>
        </w:rPr>
        <w:t>路、输变电、输油气管线等重大工程毁坏的数量、面积及损害程度。</w:t>
      </w:r>
      <w:r>
        <w:rPr>
          <w:rFonts w:hint="default" w:ascii="Times New Roman" w:hAnsi="Times New Roman" w:eastAsia="Times New Roman" w:cs="Times New Roman"/>
          <w:color w:val="auto"/>
          <w:sz w:val="18"/>
        </w:rPr>
        <w:t>3</w:t>
      </w:r>
      <w:r>
        <w:rPr>
          <w:rFonts w:hint="default" w:ascii="Times New Roman" w:hAnsi="Times New Roman" w:cs="Times New Roman"/>
          <w:color w:val="auto"/>
          <w:spacing w:val="-9"/>
          <w:sz w:val="18"/>
        </w:rPr>
        <w:t>、崩塌、滑坡、泥石流等灾害的位置、</w:t>
      </w:r>
      <w:r>
        <w:rPr>
          <w:rFonts w:hint="default" w:ascii="Times New Roman" w:hAnsi="Times New Roman" w:cs="Times New Roman"/>
          <w:color w:val="auto"/>
          <w:sz w:val="18"/>
        </w:rPr>
        <w:t>面积、体积及危害程度。</w:t>
      </w:r>
      <w:r>
        <w:rPr>
          <w:rFonts w:hint="default" w:ascii="Times New Roman" w:hAnsi="Times New Roman" w:eastAsia="Times New Roman" w:cs="Times New Roman"/>
          <w:color w:val="auto"/>
          <w:sz w:val="18"/>
        </w:rPr>
        <w:t>4</w:t>
      </w:r>
      <w:r>
        <w:rPr>
          <w:rFonts w:hint="default" w:ascii="Times New Roman" w:hAnsi="Times New Roman" w:cs="Times New Roman"/>
          <w:color w:val="auto"/>
          <w:sz w:val="18"/>
        </w:rPr>
        <w:t>、直接弃入江河湖泊的弃渣位置、方量、堵塞河道面积等情况。</w:t>
      </w:r>
    </w:p>
    <w:p>
      <w:pPr>
        <w:pStyle w:val="3"/>
        <w:bidi w:val="0"/>
        <w:rPr>
          <w:rFonts w:hint="default" w:ascii="Times New Roman" w:hAnsi="Times New Roman" w:cs="Times New Roman"/>
          <w:color w:val="auto"/>
          <w:lang w:val="en-US" w:eastAsia="zh-CN"/>
        </w:rPr>
      </w:pPr>
      <w:bookmarkStart w:id="62" w:name="_Toc20534"/>
      <w:bookmarkStart w:id="63" w:name="_Toc10386"/>
      <w:bookmarkStart w:id="64" w:name="_Toc31629"/>
      <w:r>
        <w:rPr>
          <w:rFonts w:hint="default" w:ascii="Times New Roman" w:hAnsi="Times New Roman" w:cs="Times New Roman"/>
          <w:color w:val="auto"/>
          <w:lang w:val="en-US" w:eastAsia="zh-CN"/>
        </w:rPr>
        <w:t>4.2水土保持监测报告</w:t>
      </w:r>
      <w:bookmarkEnd w:id="62"/>
      <w:bookmarkEnd w:id="63"/>
      <w:bookmarkEnd w:id="6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水土保持监测应接受水行政主管部门的管理和监督，项目开工（含施工准备期）前应向水行政主管部门报送《生产建设项目水土保持监测实施方案》。</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水土保持监测单位定期对监测的原始资料进行系统的汇总、整编。按时提交符合要求的水土保持监测报告表、重大情况报告，至水土保持设施验收时提交水土保持监测总报告。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lang w:val="en-US" w:eastAsia="zh-CN"/>
        </w:rPr>
      </w:pPr>
      <w:r>
        <w:rPr>
          <w:rFonts w:hint="default" w:ascii="Times New Roman" w:hAnsi="Times New Roman" w:cs="Times New Roman"/>
          <w:color w:val="auto"/>
        </w:rPr>
        <w:t>工程建设期间，应于每季度的第一个月内报送上季度的《生产建设项目水土保持监测季度报告表》，因降雨、大风或人为原因发生严重水土流失及危害事件的， 应于事件发生后1周内报告有关情况。水土保持监测任务完成后，应于3个月内报 送《生产建设项目水土保持监测总结报告》。监测报告和报告表由建设单位向水行政主管部门报送。报送的报告和报告表要有水土保持监测项目的负责人签字，并加盖生产建设单位公章和监测单位公章。</w:t>
      </w:r>
    </w:p>
    <w:p>
      <w:pPr>
        <w:pStyle w:val="2"/>
        <w:bidi w:val="0"/>
        <w:spacing w:line="240" w:lineRule="auto"/>
        <w:outlineLvl w:val="9"/>
        <w:rPr>
          <w:rFonts w:hint="default" w:ascii="Times New Roman" w:hAnsi="Times New Roman" w:cs="Times New Roman"/>
          <w:color w:val="auto"/>
          <w:lang w:val="en-US" w:eastAsia="zh-CN"/>
        </w:rPr>
        <w:sectPr>
          <w:pgSz w:w="11910" w:h="16840"/>
          <w:pgMar w:top="1440" w:right="1440" w:bottom="1440" w:left="1440" w:header="888" w:footer="994" w:gutter="0"/>
          <w:pgNumType w:fmt="decimal"/>
          <w:cols w:space="720" w:num="1"/>
        </w:sectPr>
      </w:pPr>
      <w:bookmarkStart w:id="65" w:name="_Toc30827"/>
    </w:p>
    <w:p>
      <w:pPr>
        <w:pStyle w:val="2"/>
        <w:bidi w:val="0"/>
        <w:spacing w:line="240" w:lineRule="auto"/>
        <w:rPr>
          <w:rFonts w:hint="default" w:ascii="Times New Roman" w:hAnsi="Times New Roman" w:cs="Times New Roman"/>
          <w:color w:val="auto"/>
          <w:lang w:val="en-US" w:eastAsia="zh-CN"/>
        </w:rPr>
      </w:pPr>
      <w:bookmarkStart w:id="66" w:name="_Toc9850"/>
      <w:bookmarkStart w:id="67" w:name="_Toc27822"/>
      <w:r>
        <w:rPr>
          <w:rFonts w:hint="default" w:ascii="Times New Roman" w:hAnsi="Times New Roman" w:cs="Times New Roman"/>
          <w:color w:val="auto"/>
          <w:lang w:val="en-US" w:eastAsia="zh-CN"/>
        </w:rPr>
        <w:t>5监测工作组织与质量保证监测体系</w:t>
      </w:r>
      <w:bookmarkEnd w:id="65"/>
      <w:bookmarkEnd w:id="66"/>
      <w:bookmarkEnd w:id="67"/>
    </w:p>
    <w:p>
      <w:pPr>
        <w:pStyle w:val="3"/>
        <w:bidi w:val="0"/>
        <w:spacing w:line="240" w:lineRule="auto"/>
        <w:rPr>
          <w:rFonts w:hint="default" w:ascii="Times New Roman" w:hAnsi="Times New Roman" w:cs="Times New Roman"/>
          <w:color w:val="auto"/>
          <w:lang w:val="en-US" w:eastAsia="zh-CN"/>
        </w:rPr>
      </w:pPr>
      <w:bookmarkStart w:id="68" w:name="_Toc27595"/>
      <w:bookmarkStart w:id="69" w:name="_Toc32140"/>
      <w:bookmarkStart w:id="70" w:name="_Toc4048"/>
      <w:r>
        <w:rPr>
          <w:rFonts w:hint="default" w:ascii="Times New Roman" w:hAnsi="Times New Roman" w:cs="Times New Roman"/>
          <w:color w:val="auto"/>
          <w:lang w:val="en-US" w:eastAsia="zh-CN"/>
        </w:rPr>
        <w:t>5.1监测工作组织</w:t>
      </w:r>
      <w:bookmarkEnd w:id="68"/>
      <w:bookmarkEnd w:id="69"/>
      <w:bookmarkEnd w:id="7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项目监测工作组织人员安排计划表5.1。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表 5.1</w:t>
      </w:r>
      <w:r>
        <w:rPr>
          <w:rFonts w:hint="default" w:ascii="Times New Roman" w:hAnsi="Times New Roman" w:cs="Times New Roman"/>
          <w:color w:val="auto"/>
        </w:rPr>
        <w:tab/>
      </w:r>
      <w:r>
        <w:rPr>
          <w:rFonts w:hint="default" w:ascii="Times New Roman" w:hAnsi="Times New Roman" w:cs="Times New Roman"/>
          <w:color w:val="auto"/>
        </w:rPr>
        <w:t>项目监测工作组织人员安排计划表</w:t>
      </w:r>
    </w:p>
    <w:p>
      <w:pPr>
        <w:bidi w:val="0"/>
        <w:rPr>
          <w:rFonts w:hint="default" w:ascii="Times New Roman" w:hAnsi="Times New Roman" w:cs="Times New Roman"/>
          <w:color w:val="auto"/>
        </w:rPr>
      </w:pP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358"/>
        <w:gridCol w:w="3069"/>
        <w:gridCol w:w="48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1358" w:type="dxa"/>
          </w:tcPr>
          <w:p>
            <w:pPr>
              <w:pStyle w:val="24"/>
              <w:spacing w:before="55"/>
              <w:ind w:left="477" w:right="470"/>
              <w:jc w:val="center"/>
              <w:rPr>
                <w:rFonts w:hint="default" w:ascii="Times New Roman" w:hAnsi="Times New Roman" w:eastAsia="仿宋" w:cs="Times New Roman"/>
                <w:color w:val="auto"/>
                <w:sz w:val="18"/>
              </w:rPr>
            </w:pPr>
            <w:r>
              <w:rPr>
                <w:rFonts w:hint="default" w:ascii="Times New Roman" w:hAnsi="Times New Roman" w:eastAsia="仿宋" w:cs="Times New Roman"/>
                <w:color w:val="auto"/>
                <w:sz w:val="18"/>
              </w:rPr>
              <w:t>时段</w:t>
            </w:r>
          </w:p>
        </w:tc>
        <w:tc>
          <w:tcPr>
            <w:tcW w:w="3069" w:type="dxa"/>
          </w:tcPr>
          <w:p>
            <w:pPr>
              <w:pStyle w:val="24"/>
              <w:spacing w:before="55"/>
              <w:ind w:left="1154" w:right="1144"/>
              <w:jc w:val="center"/>
              <w:rPr>
                <w:rFonts w:hint="default" w:ascii="Times New Roman" w:hAnsi="Times New Roman" w:eastAsia="仿宋" w:cs="Times New Roman"/>
                <w:color w:val="auto"/>
                <w:sz w:val="18"/>
              </w:rPr>
            </w:pPr>
            <w:r>
              <w:rPr>
                <w:rFonts w:hint="default" w:ascii="Times New Roman" w:hAnsi="Times New Roman" w:eastAsia="仿宋" w:cs="Times New Roman"/>
                <w:color w:val="auto"/>
                <w:sz w:val="18"/>
              </w:rPr>
              <w:t>工作内容</w:t>
            </w:r>
          </w:p>
        </w:tc>
        <w:tc>
          <w:tcPr>
            <w:tcW w:w="4833" w:type="dxa"/>
          </w:tcPr>
          <w:p>
            <w:pPr>
              <w:pStyle w:val="24"/>
              <w:spacing w:before="55"/>
              <w:ind w:left="2036" w:right="2027"/>
              <w:jc w:val="center"/>
              <w:rPr>
                <w:rFonts w:hint="default" w:ascii="Times New Roman" w:hAnsi="Times New Roman" w:eastAsia="仿宋" w:cs="Times New Roman"/>
                <w:color w:val="auto"/>
                <w:sz w:val="18"/>
              </w:rPr>
            </w:pPr>
            <w:r>
              <w:rPr>
                <w:rFonts w:hint="default" w:ascii="Times New Roman" w:hAnsi="Times New Roman" w:eastAsia="仿宋" w:cs="Times New Roman"/>
                <w:color w:val="auto"/>
                <w:sz w:val="18"/>
              </w:rPr>
              <w:t>人员安排</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358" w:type="dxa"/>
            <w:tcBorders>
              <w:left w:val="single" w:color="000000" w:sz="2" w:space="0"/>
              <w:bottom w:val="single" w:color="000000" w:sz="2" w:space="0"/>
              <w:right w:val="single" w:color="000000" w:sz="2" w:space="0"/>
            </w:tcBorders>
          </w:tcPr>
          <w:p>
            <w:pPr>
              <w:pStyle w:val="24"/>
              <w:spacing w:before="178"/>
              <w:ind w:left="135" w:right="125"/>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w:t>
            </w:r>
          </w:p>
          <w:p>
            <w:pPr>
              <w:pStyle w:val="24"/>
              <w:spacing w:before="43"/>
              <w:ind w:left="137" w:right="125"/>
              <w:jc w:val="center"/>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正式进场前</w:t>
            </w:r>
          </w:p>
        </w:tc>
        <w:tc>
          <w:tcPr>
            <w:tcW w:w="3069" w:type="dxa"/>
            <w:tcBorders>
              <w:left w:val="single" w:color="000000" w:sz="2" w:space="0"/>
              <w:bottom w:val="single" w:color="000000" w:sz="2" w:space="0"/>
              <w:right w:val="single" w:color="000000" w:sz="2" w:space="0"/>
            </w:tcBorders>
          </w:tcPr>
          <w:p>
            <w:pPr>
              <w:pStyle w:val="24"/>
              <w:spacing w:before="22"/>
              <w:ind w:left="11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1、熟悉水土保持方案。</w:t>
            </w:r>
          </w:p>
          <w:p>
            <w:pPr>
              <w:pStyle w:val="24"/>
              <w:spacing w:before="43"/>
              <w:ind w:left="11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2</w:t>
            </w:r>
            <w:r>
              <w:rPr>
                <w:rFonts w:hint="default" w:ascii="Times New Roman" w:hAnsi="Times New Roman" w:eastAsia="仿宋" w:cs="Times New Roman"/>
                <w:color w:val="auto"/>
                <w:spacing w:val="-4"/>
                <w:sz w:val="21"/>
              </w:rPr>
              <w:t>、明确水土保持监测布局。</w:t>
            </w:r>
          </w:p>
          <w:p>
            <w:pPr>
              <w:pStyle w:val="24"/>
              <w:spacing w:before="43"/>
              <w:ind w:left="11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3</w:t>
            </w:r>
            <w:r>
              <w:rPr>
                <w:rFonts w:hint="default" w:ascii="Times New Roman" w:hAnsi="Times New Roman" w:eastAsia="仿宋" w:cs="Times New Roman"/>
                <w:color w:val="auto"/>
                <w:spacing w:val="-4"/>
                <w:sz w:val="21"/>
              </w:rPr>
              <w:t>、确定水土保持监测方法。</w:t>
            </w:r>
          </w:p>
        </w:tc>
        <w:tc>
          <w:tcPr>
            <w:tcW w:w="4833" w:type="dxa"/>
            <w:tcBorders>
              <w:left w:val="single" w:color="000000" w:sz="2" w:space="0"/>
              <w:bottom w:val="single" w:color="000000" w:sz="2" w:space="0"/>
              <w:right w:val="single" w:color="000000" w:sz="2" w:space="0"/>
            </w:tcBorders>
          </w:tcPr>
          <w:p>
            <w:pPr>
              <w:pStyle w:val="24"/>
              <w:spacing w:before="178" w:line="278" w:lineRule="auto"/>
              <w:ind w:left="111" w:right="-15"/>
              <w:rPr>
                <w:rFonts w:hint="default" w:ascii="Times New Roman" w:hAnsi="Times New Roman" w:eastAsia="仿宋" w:cs="Times New Roman"/>
                <w:color w:val="auto"/>
                <w:sz w:val="21"/>
              </w:rPr>
            </w:pPr>
            <w:r>
              <w:rPr>
                <w:rFonts w:hint="default" w:ascii="Times New Roman" w:hAnsi="Times New Roman" w:eastAsia="仿宋" w:cs="Times New Roman"/>
                <w:color w:val="auto"/>
                <w:spacing w:val="-12"/>
                <w:sz w:val="21"/>
              </w:rPr>
              <w:t xml:space="preserve">本阶段属内业工作，安排 </w:t>
            </w:r>
            <w:r>
              <w:rPr>
                <w:rFonts w:hint="default" w:ascii="Times New Roman" w:hAnsi="Times New Roman" w:eastAsia="仿宋" w:cs="Times New Roman"/>
                <w:color w:val="auto"/>
                <w:sz w:val="21"/>
              </w:rPr>
              <w:t>3</w:t>
            </w:r>
            <w:r>
              <w:rPr>
                <w:rFonts w:hint="default" w:ascii="Times New Roman" w:hAnsi="Times New Roman" w:eastAsia="仿宋" w:cs="Times New Roman"/>
                <w:color w:val="auto"/>
                <w:spacing w:val="12"/>
                <w:sz w:val="21"/>
              </w:rPr>
              <w:t xml:space="preserve"> </w:t>
            </w:r>
            <w:r>
              <w:rPr>
                <w:rFonts w:hint="default" w:ascii="Times New Roman" w:hAnsi="Times New Roman" w:eastAsia="仿宋" w:cs="Times New Roman"/>
                <w:color w:val="auto"/>
                <w:spacing w:val="-9"/>
                <w:sz w:val="21"/>
              </w:rPr>
              <w:t>个人，每个人负责一项。</w:t>
            </w:r>
            <w:r>
              <w:rPr>
                <w:rFonts w:hint="default" w:ascii="Times New Roman" w:hAnsi="Times New Roman" w:eastAsia="仿宋" w:cs="Times New Roman"/>
                <w:color w:val="auto"/>
                <w:spacing w:val="-5"/>
                <w:sz w:val="21"/>
              </w:rPr>
              <w:t>侵蚀单元的划分是本阶段的工作重点。</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183" w:hRule="atLeast"/>
          <w:jc w:val="center"/>
        </w:trPr>
        <w:tc>
          <w:tcPr>
            <w:tcW w:w="1358" w:type="dxa"/>
            <w:tcBorders>
              <w:top w:val="single" w:color="000000" w:sz="2" w:space="0"/>
              <w:left w:val="single" w:color="000000" w:sz="2" w:space="0"/>
              <w:bottom w:val="single" w:color="000000" w:sz="2" w:space="0"/>
              <w:right w:val="single" w:color="000000" w:sz="2" w:space="0"/>
            </w:tcBorders>
          </w:tcPr>
          <w:p>
            <w:pPr>
              <w:pStyle w:val="24"/>
              <w:rPr>
                <w:rFonts w:hint="default" w:ascii="Times New Roman" w:hAnsi="Times New Roman" w:eastAsia="仿宋" w:cs="Times New Roman"/>
                <w:color w:val="auto"/>
                <w:sz w:val="20"/>
              </w:rPr>
            </w:pPr>
          </w:p>
          <w:p>
            <w:pPr>
              <w:pStyle w:val="24"/>
              <w:rPr>
                <w:rFonts w:hint="default" w:ascii="Times New Roman" w:hAnsi="Times New Roman" w:eastAsia="仿宋" w:cs="Times New Roman"/>
                <w:color w:val="auto"/>
                <w:sz w:val="20"/>
              </w:rPr>
            </w:pPr>
          </w:p>
          <w:p>
            <w:pPr>
              <w:pStyle w:val="24"/>
              <w:spacing w:before="8"/>
              <w:rPr>
                <w:rFonts w:hint="default" w:ascii="Times New Roman" w:hAnsi="Times New Roman" w:eastAsia="仿宋" w:cs="Times New Roman"/>
                <w:color w:val="auto"/>
                <w:sz w:val="22"/>
              </w:rPr>
            </w:pPr>
          </w:p>
          <w:p>
            <w:pPr>
              <w:pStyle w:val="24"/>
              <w:spacing w:line="278" w:lineRule="auto"/>
              <w:ind w:left="364" w:right="352" w:firstLine="10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主体施工期</w:t>
            </w:r>
          </w:p>
        </w:tc>
        <w:tc>
          <w:tcPr>
            <w:tcW w:w="3069" w:type="dxa"/>
            <w:tcBorders>
              <w:top w:val="single" w:color="000000" w:sz="2" w:space="0"/>
              <w:left w:val="single" w:color="000000" w:sz="2" w:space="0"/>
              <w:bottom w:val="single" w:color="000000" w:sz="2" w:space="0"/>
              <w:right w:val="single" w:color="000000" w:sz="2" w:space="0"/>
            </w:tcBorders>
          </w:tcPr>
          <w:p>
            <w:pPr>
              <w:pStyle w:val="24"/>
              <w:rPr>
                <w:rFonts w:hint="default" w:ascii="Times New Roman" w:hAnsi="Times New Roman" w:eastAsia="仿宋" w:cs="Times New Roman"/>
                <w:color w:val="auto"/>
                <w:sz w:val="22"/>
              </w:rPr>
            </w:pPr>
          </w:p>
          <w:p>
            <w:pPr>
              <w:pStyle w:val="24"/>
              <w:spacing w:before="3"/>
              <w:rPr>
                <w:rFonts w:hint="default" w:ascii="Times New Roman" w:hAnsi="Times New Roman" w:eastAsia="仿宋" w:cs="Times New Roman"/>
                <w:color w:val="auto"/>
                <w:sz w:val="16"/>
              </w:rPr>
            </w:pPr>
          </w:p>
          <w:p>
            <w:pPr>
              <w:pStyle w:val="24"/>
              <w:spacing w:before="1"/>
              <w:ind w:left="11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1、面积监测。</w:t>
            </w:r>
          </w:p>
          <w:p>
            <w:pPr>
              <w:pStyle w:val="24"/>
              <w:spacing w:before="42"/>
              <w:ind w:left="11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2、水土流失量监测。</w:t>
            </w:r>
          </w:p>
          <w:p>
            <w:pPr>
              <w:pStyle w:val="24"/>
              <w:spacing w:before="43"/>
              <w:ind w:left="11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3</w:t>
            </w:r>
            <w:r>
              <w:rPr>
                <w:rFonts w:hint="default" w:ascii="Times New Roman" w:hAnsi="Times New Roman" w:eastAsia="仿宋" w:cs="Times New Roman"/>
                <w:color w:val="auto"/>
                <w:spacing w:val="-3"/>
                <w:sz w:val="21"/>
              </w:rPr>
              <w:t>、临时堆土监测。</w:t>
            </w:r>
          </w:p>
          <w:p>
            <w:pPr>
              <w:pStyle w:val="24"/>
              <w:spacing w:before="43"/>
              <w:ind w:left="11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4</w:t>
            </w:r>
            <w:r>
              <w:rPr>
                <w:rFonts w:hint="default" w:ascii="Times New Roman" w:hAnsi="Times New Roman" w:eastAsia="仿宋" w:cs="Times New Roman"/>
                <w:color w:val="auto"/>
                <w:spacing w:val="-3"/>
                <w:sz w:val="21"/>
              </w:rPr>
              <w:t>、防治措施监测。</w:t>
            </w:r>
          </w:p>
        </w:tc>
        <w:tc>
          <w:tcPr>
            <w:tcW w:w="4833" w:type="dxa"/>
            <w:tcBorders>
              <w:top w:val="single" w:color="000000" w:sz="2" w:space="0"/>
              <w:left w:val="single" w:color="000000" w:sz="2" w:space="0"/>
              <w:bottom w:val="single" w:color="000000" w:sz="2" w:space="0"/>
              <w:right w:val="single" w:color="000000" w:sz="2" w:space="0"/>
            </w:tcBorders>
          </w:tcPr>
          <w:p>
            <w:pPr>
              <w:pStyle w:val="24"/>
              <w:spacing w:before="22"/>
              <w:ind w:left="111" w:right="-1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1</w:t>
            </w:r>
            <w:r>
              <w:rPr>
                <w:rFonts w:hint="default" w:ascii="Times New Roman" w:hAnsi="Times New Roman" w:eastAsia="仿宋" w:cs="Times New Roman"/>
                <w:color w:val="auto"/>
                <w:spacing w:val="-19"/>
                <w:sz w:val="21"/>
              </w:rPr>
              <w:t xml:space="preserve">、面积监测安排 </w:t>
            </w:r>
            <w:r>
              <w:rPr>
                <w:rFonts w:hint="default" w:ascii="Times New Roman" w:hAnsi="Times New Roman" w:eastAsia="仿宋" w:cs="Times New Roman"/>
                <w:color w:val="auto"/>
                <w:sz w:val="21"/>
              </w:rPr>
              <w:t>2</w:t>
            </w:r>
            <w:r>
              <w:rPr>
                <w:rFonts w:hint="default" w:ascii="Times New Roman" w:hAnsi="Times New Roman" w:eastAsia="仿宋" w:cs="Times New Roman"/>
                <w:color w:val="auto"/>
                <w:spacing w:val="6"/>
                <w:sz w:val="21"/>
              </w:rPr>
              <w:t xml:space="preserve"> </w:t>
            </w:r>
            <w:r>
              <w:rPr>
                <w:rFonts w:hint="default" w:ascii="Times New Roman" w:hAnsi="Times New Roman" w:eastAsia="仿宋" w:cs="Times New Roman"/>
                <w:color w:val="auto"/>
                <w:spacing w:val="-15"/>
                <w:sz w:val="21"/>
              </w:rPr>
              <w:t>个人，</w:t>
            </w:r>
            <w:r>
              <w:rPr>
                <w:rFonts w:hint="default" w:ascii="Times New Roman" w:hAnsi="Times New Roman" w:eastAsia="仿宋" w:cs="Times New Roman"/>
                <w:color w:val="auto"/>
                <w:spacing w:val="-41"/>
                <w:sz w:val="21"/>
              </w:rPr>
              <w:t>1</w:t>
            </w:r>
            <w:r>
              <w:rPr>
                <w:rFonts w:hint="default" w:ascii="Times New Roman" w:hAnsi="Times New Roman" w:eastAsia="仿宋" w:cs="Times New Roman"/>
                <w:color w:val="auto"/>
                <w:spacing w:val="-33"/>
                <w:sz w:val="21"/>
              </w:rPr>
              <w:t xml:space="preserve"> </w:t>
            </w:r>
            <w:r>
              <w:rPr>
                <w:rFonts w:hint="default" w:ascii="Times New Roman" w:hAnsi="Times New Roman" w:eastAsia="仿宋" w:cs="Times New Roman"/>
                <w:color w:val="auto"/>
                <w:spacing w:val="-14"/>
                <w:sz w:val="21"/>
              </w:rPr>
              <w:t xml:space="preserve">人测量 </w:t>
            </w:r>
            <w:r>
              <w:rPr>
                <w:rFonts w:hint="default" w:ascii="Times New Roman" w:hAnsi="Times New Roman" w:eastAsia="仿宋" w:cs="Times New Roman"/>
                <w:color w:val="auto"/>
                <w:sz w:val="21"/>
              </w:rPr>
              <w:t>1</w:t>
            </w:r>
            <w:r>
              <w:rPr>
                <w:rFonts w:hint="default" w:ascii="Times New Roman" w:hAnsi="Times New Roman" w:eastAsia="仿宋" w:cs="Times New Roman"/>
                <w:color w:val="auto"/>
                <w:spacing w:val="5"/>
                <w:sz w:val="21"/>
              </w:rPr>
              <w:t xml:space="preserve"> </w:t>
            </w:r>
            <w:r>
              <w:rPr>
                <w:rFonts w:hint="default" w:ascii="Times New Roman" w:hAnsi="Times New Roman" w:eastAsia="仿宋" w:cs="Times New Roman"/>
                <w:color w:val="auto"/>
                <w:spacing w:val="-3"/>
                <w:sz w:val="21"/>
              </w:rPr>
              <w:t>个人记录数据。</w:t>
            </w:r>
          </w:p>
          <w:p>
            <w:pPr>
              <w:pStyle w:val="24"/>
              <w:spacing w:before="43"/>
              <w:ind w:left="111"/>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2、水土流失量监测安排 2 个人，先一起布设监测</w:t>
            </w:r>
          </w:p>
          <w:p>
            <w:pPr>
              <w:pStyle w:val="24"/>
              <w:spacing w:before="43"/>
              <w:ind w:left="111"/>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设施，监测过程中 1 人测量 1 人记录数据。</w:t>
            </w:r>
          </w:p>
          <w:p>
            <w:pPr>
              <w:pStyle w:val="24"/>
              <w:spacing w:before="43"/>
              <w:ind w:left="111"/>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3</w:t>
            </w:r>
            <w:r>
              <w:rPr>
                <w:rFonts w:hint="default" w:ascii="Times New Roman" w:hAnsi="Times New Roman" w:eastAsia="仿宋" w:cs="Times New Roman"/>
                <w:color w:val="auto"/>
                <w:spacing w:val="-8"/>
                <w:sz w:val="21"/>
              </w:rPr>
              <w:t xml:space="preserve">、临时堆土监测安排 </w:t>
            </w:r>
            <w:r>
              <w:rPr>
                <w:rFonts w:hint="default" w:ascii="Times New Roman" w:hAnsi="Times New Roman" w:eastAsia="仿宋" w:cs="Times New Roman"/>
                <w:color w:val="auto"/>
                <w:sz w:val="21"/>
              </w:rPr>
              <w:t>1</w:t>
            </w:r>
            <w:r>
              <w:rPr>
                <w:rFonts w:hint="default" w:ascii="Times New Roman" w:hAnsi="Times New Roman" w:eastAsia="仿宋" w:cs="Times New Roman"/>
                <w:color w:val="auto"/>
                <w:spacing w:val="4"/>
                <w:sz w:val="21"/>
              </w:rPr>
              <w:t xml:space="preserve"> </w:t>
            </w:r>
            <w:r>
              <w:rPr>
                <w:rFonts w:hint="default" w:ascii="Times New Roman" w:hAnsi="Times New Roman" w:eastAsia="仿宋" w:cs="Times New Roman"/>
                <w:color w:val="auto"/>
                <w:spacing w:val="-2"/>
                <w:sz w:val="21"/>
              </w:rPr>
              <w:t>个人。</w:t>
            </w:r>
          </w:p>
          <w:p>
            <w:pPr>
              <w:pStyle w:val="24"/>
              <w:spacing w:before="43"/>
              <w:ind w:left="111"/>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4</w:t>
            </w:r>
            <w:r>
              <w:rPr>
                <w:rFonts w:hint="default" w:ascii="Times New Roman" w:hAnsi="Times New Roman" w:eastAsia="仿宋" w:cs="Times New Roman"/>
                <w:color w:val="auto"/>
                <w:spacing w:val="-8"/>
                <w:sz w:val="21"/>
              </w:rPr>
              <w:t xml:space="preserve">、防治措施监测安排 </w:t>
            </w:r>
            <w:r>
              <w:rPr>
                <w:rFonts w:hint="default" w:ascii="Times New Roman" w:hAnsi="Times New Roman" w:eastAsia="仿宋" w:cs="Times New Roman"/>
                <w:color w:val="auto"/>
                <w:sz w:val="21"/>
              </w:rPr>
              <w:t>1</w:t>
            </w:r>
            <w:r>
              <w:rPr>
                <w:rFonts w:hint="default" w:ascii="Times New Roman" w:hAnsi="Times New Roman" w:eastAsia="仿宋" w:cs="Times New Roman"/>
                <w:color w:val="auto"/>
                <w:spacing w:val="4"/>
                <w:sz w:val="21"/>
              </w:rPr>
              <w:t xml:space="preserve"> </w:t>
            </w:r>
            <w:r>
              <w:rPr>
                <w:rFonts w:hint="default" w:ascii="Times New Roman" w:hAnsi="Times New Roman" w:eastAsia="仿宋" w:cs="Times New Roman"/>
                <w:color w:val="auto"/>
                <w:spacing w:val="-2"/>
                <w:sz w:val="21"/>
              </w:rPr>
              <w:t>个人。</w:t>
            </w:r>
          </w:p>
          <w:p>
            <w:pPr>
              <w:pStyle w:val="24"/>
              <w:spacing w:before="2" w:line="310" w:lineRule="atLeast"/>
              <w:ind w:left="111" w:right="95"/>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其中面积监测工作量较大，要求较细致，侵蚀强度监测主要在雨季进行。人员可交叉工作。</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5" w:hRule="atLeast"/>
          <w:jc w:val="center"/>
        </w:trPr>
        <w:tc>
          <w:tcPr>
            <w:tcW w:w="1358" w:type="dxa"/>
            <w:tcBorders>
              <w:top w:val="single" w:color="000000" w:sz="2" w:space="0"/>
              <w:left w:val="single" w:color="000000" w:sz="2" w:space="0"/>
              <w:bottom w:val="single" w:color="000000" w:sz="2" w:space="0"/>
              <w:right w:val="single" w:color="000000" w:sz="2" w:space="0"/>
            </w:tcBorders>
          </w:tcPr>
          <w:p>
            <w:pPr>
              <w:pStyle w:val="24"/>
              <w:spacing w:before="22" w:line="278" w:lineRule="auto"/>
              <w:ind w:left="155" w:right="141"/>
              <w:rPr>
                <w:rFonts w:hint="default" w:ascii="Times New Roman" w:hAnsi="Times New Roman" w:eastAsia="仿宋" w:cs="Times New Roman"/>
                <w:color w:val="auto"/>
                <w:sz w:val="21"/>
              </w:rPr>
            </w:pPr>
            <w:r>
              <w:rPr>
                <w:rFonts w:hint="default" w:ascii="Times New Roman" w:hAnsi="Times New Roman" w:eastAsia="仿宋" w:cs="Times New Roman"/>
                <w:color w:val="auto"/>
                <w:spacing w:val="-5"/>
                <w:sz w:val="21"/>
              </w:rPr>
              <w:t>水保措施运</w:t>
            </w:r>
            <w:r>
              <w:rPr>
                <w:rFonts w:hint="default" w:ascii="Times New Roman" w:hAnsi="Times New Roman" w:eastAsia="仿宋" w:cs="Times New Roman"/>
                <w:color w:val="auto"/>
                <w:sz w:val="21"/>
              </w:rPr>
              <w:t>行期</w:t>
            </w:r>
            <w:r>
              <w:rPr>
                <w:rFonts w:hint="default" w:ascii="Times New Roman" w:hAnsi="Times New Roman" w:eastAsia="仿宋" w:cs="Times New Roman"/>
                <w:color w:val="auto"/>
                <w:spacing w:val="-3"/>
                <w:sz w:val="21"/>
              </w:rPr>
              <w:t>（</w:t>
            </w:r>
            <w:r>
              <w:rPr>
                <w:rFonts w:hint="default" w:ascii="Times New Roman" w:hAnsi="Times New Roman" w:eastAsia="仿宋" w:cs="Times New Roman"/>
                <w:color w:val="auto"/>
                <w:spacing w:val="-9"/>
                <w:sz w:val="21"/>
              </w:rPr>
              <w:t>即林</w:t>
            </w:r>
          </w:p>
          <w:p>
            <w:pPr>
              <w:pStyle w:val="24"/>
              <w:spacing w:line="269" w:lineRule="exact"/>
              <w:ind w:left="155"/>
              <w:rPr>
                <w:rFonts w:hint="default" w:ascii="Times New Roman" w:hAnsi="Times New Roman" w:eastAsia="仿宋" w:cs="Times New Roman"/>
                <w:color w:val="auto"/>
                <w:sz w:val="21"/>
              </w:rPr>
            </w:pPr>
            <w:r>
              <w:rPr>
                <w:rFonts w:hint="default" w:ascii="Times New Roman" w:hAnsi="Times New Roman" w:eastAsia="仿宋" w:cs="Times New Roman"/>
                <w:color w:val="auto"/>
                <w:spacing w:val="-1"/>
                <w:sz w:val="21"/>
              </w:rPr>
              <w:t>草恢复期</w:t>
            </w:r>
            <w:r>
              <w:rPr>
                <w:rFonts w:hint="default" w:ascii="Times New Roman" w:hAnsi="Times New Roman" w:eastAsia="仿宋" w:cs="Times New Roman"/>
                <w:color w:val="auto"/>
                <w:sz w:val="21"/>
              </w:rPr>
              <w:t>）</w:t>
            </w:r>
          </w:p>
        </w:tc>
        <w:tc>
          <w:tcPr>
            <w:tcW w:w="3069" w:type="dxa"/>
            <w:tcBorders>
              <w:top w:val="single" w:color="000000" w:sz="2" w:space="0"/>
              <w:left w:val="single" w:color="000000" w:sz="2" w:space="0"/>
              <w:bottom w:val="single" w:color="000000" w:sz="2" w:space="0"/>
              <w:right w:val="single" w:color="000000" w:sz="2" w:space="0"/>
            </w:tcBorders>
          </w:tcPr>
          <w:p>
            <w:pPr>
              <w:pStyle w:val="24"/>
              <w:spacing w:before="178"/>
              <w:ind w:left="11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1、水土流失量监测。</w:t>
            </w:r>
          </w:p>
          <w:p>
            <w:pPr>
              <w:pStyle w:val="24"/>
              <w:spacing w:before="43"/>
              <w:ind w:left="11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2、防治措施监测。</w:t>
            </w:r>
          </w:p>
        </w:tc>
        <w:tc>
          <w:tcPr>
            <w:tcW w:w="4833" w:type="dxa"/>
            <w:tcBorders>
              <w:top w:val="single" w:color="000000" w:sz="2" w:space="0"/>
              <w:left w:val="single" w:color="000000" w:sz="2" w:space="0"/>
              <w:bottom w:val="single" w:color="000000" w:sz="2" w:space="0"/>
              <w:right w:val="single" w:color="000000" w:sz="2" w:space="0"/>
            </w:tcBorders>
          </w:tcPr>
          <w:p>
            <w:pPr>
              <w:pStyle w:val="24"/>
              <w:spacing w:before="22"/>
              <w:ind w:left="111"/>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1、水土流失量监测安排 2 个人。</w:t>
            </w:r>
          </w:p>
          <w:p>
            <w:pPr>
              <w:pStyle w:val="24"/>
              <w:spacing w:before="43"/>
              <w:ind w:left="111"/>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2、防治措施监测是重点内容，工程措施安排 2 个</w:t>
            </w:r>
          </w:p>
          <w:p>
            <w:pPr>
              <w:pStyle w:val="24"/>
              <w:spacing w:before="43"/>
              <w:ind w:left="111"/>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人，植物措施安排 2 个人。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jc w:val="center"/>
        </w:trPr>
        <w:tc>
          <w:tcPr>
            <w:tcW w:w="1358" w:type="dxa"/>
            <w:tcBorders>
              <w:top w:val="single" w:color="000000" w:sz="2" w:space="0"/>
              <w:left w:val="single" w:color="000000" w:sz="2" w:space="0"/>
              <w:bottom w:val="single" w:color="000000" w:sz="2" w:space="0"/>
              <w:right w:val="single" w:color="000000" w:sz="2" w:space="0"/>
            </w:tcBorders>
          </w:tcPr>
          <w:p>
            <w:pPr>
              <w:pStyle w:val="24"/>
              <w:rPr>
                <w:rFonts w:hint="default" w:ascii="Times New Roman" w:hAnsi="Times New Roman" w:eastAsia="仿宋" w:cs="Times New Roman"/>
                <w:color w:val="auto"/>
                <w:sz w:val="20"/>
              </w:rPr>
            </w:pPr>
          </w:p>
          <w:p>
            <w:pPr>
              <w:pStyle w:val="24"/>
              <w:rPr>
                <w:rFonts w:hint="default" w:ascii="Times New Roman" w:hAnsi="Times New Roman" w:eastAsia="仿宋" w:cs="Times New Roman"/>
                <w:color w:val="auto"/>
                <w:sz w:val="20"/>
              </w:rPr>
            </w:pPr>
          </w:p>
          <w:p>
            <w:pPr>
              <w:pStyle w:val="24"/>
              <w:rPr>
                <w:rFonts w:hint="default" w:ascii="Times New Roman" w:hAnsi="Times New Roman" w:eastAsia="仿宋" w:cs="Times New Roman"/>
                <w:color w:val="auto"/>
                <w:sz w:val="20"/>
              </w:rPr>
            </w:pPr>
          </w:p>
          <w:p>
            <w:pPr>
              <w:pStyle w:val="24"/>
              <w:spacing w:before="10"/>
              <w:rPr>
                <w:rFonts w:hint="default" w:ascii="Times New Roman" w:hAnsi="Times New Roman" w:eastAsia="仿宋" w:cs="Times New Roman"/>
                <w:color w:val="auto"/>
                <w:sz w:val="14"/>
              </w:rPr>
            </w:pPr>
          </w:p>
          <w:p>
            <w:pPr>
              <w:pStyle w:val="24"/>
              <w:spacing w:line="278" w:lineRule="auto"/>
              <w:ind w:left="261" w:right="246"/>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监测报告编写阶段</w:t>
            </w:r>
          </w:p>
        </w:tc>
        <w:tc>
          <w:tcPr>
            <w:tcW w:w="3069" w:type="dxa"/>
            <w:tcBorders>
              <w:top w:val="single" w:color="000000" w:sz="2" w:space="0"/>
              <w:left w:val="single" w:color="000000" w:sz="2" w:space="0"/>
              <w:bottom w:val="single" w:color="000000" w:sz="2" w:space="0"/>
              <w:right w:val="single" w:color="000000" w:sz="2" w:space="0"/>
            </w:tcBorders>
          </w:tcPr>
          <w:p>
            <w:pPr>
              <w:pStyle w:val="24"/>
              <w:spacing w:before="22" w:line="278" w:lineRule="auto"/>
              <w:ind w:left="110" w:right="93"/>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1、汇总每年度防治责任范围的面积。</w:t>
            </w:r>
          </w:p>
          <w:p>
            <w:pPr>
              <w:pStyle w:val="24"/>
              <w:spacing w:line="278" w:lineRule="auto"/>
              <w:ind w:left="110" w:right="93"/>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2、汇总每年度侵蚀强度变化情况。</w:t>
            </w:r>
          </w:p>
          <w:p>
            <w:pPr>
              <w:pStyle w:val="24"/>
              <w:spacing w:line="269" w:lineRule="exact"/>
              <w:ind w:left="11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3</w:t>
            </w:r>
            <w:r>
              <w:rPr>
                <w:rFonts w:hint="default" w:ascii="Times New Roman" w:hAnsi="Times New Roman" w:eastAsia="仿宋" w:cs="Times New Roman"/>
                <w:color w:val="auto"/>
                <w:spacing w:val="-4"/>
                <w:sz w:val="21"/>
              </w:rPr>
              <w:t>、计算每年度水土流失量。</w:t>
            </w:r>
          </w:p>
          <w:p>
            <w:pPr>
              <w:pStyle w:val="24"/>
              <w:spacing w:before="43"/>
              <w:ind w:left="110"/>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4</w:t>
            </w:r>
            <w:r>
              <w:rPr>
                <w:rFonts w:hint="default" w:ascii="Times New Roman" w:hAnsi="Times New Roman" w:eastAsia="仿宋" w:cs="Times New Roman"/>
                <w:color w:val="auto"/>
                <w:spacing w:val="-4"/>
                <w:sz w:val="21"/>
              </w:rPr>
              <w:t>、汇总每年度弃渣量情况。</w:t>
            </w:r>
          </w:p>
          <w:p>
            <w:pPr>
              <w:pStyle w:val="24"/>
              <w:spacing w:before="2" w:line="310" w:lineRule="atLeast"/>
              <w:ind w:left="110" w:right="93"/>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5、汇总防治措施完成数量及质量。</w:t>
            </w:r>
          </w:p>
        </w:tc>
        <w:tc>
          <w:tcPr>
            <w:tcW w:w="4833" w:type="dxa"/>
            <w:tcBorders>
              <w:top w:val="single" w:color="000000" w:sz="2" w:space="0"/>
              <w:left w:val="single" w:color="000000" w:sz="2" w:space="0"/>
              <w:bottom w:val="single" w:color="000000" w:sz="2" w:space="0"/>
              <w:right w:val="single" w:color="000000" w:sz="2" w:space="0"/>
            </w:tcBorders>
          </w:tcPr>
          <w:p>
            <w:pPr>
              <w:pStyle w:val="24"/>
              <w:rPr>
                <w:rFonts w:hint="default" w:ascii="Times New Roman" w:hAnsi="Times New Roman" w:eastAsia="仿宋" w:cs="Times New Roman"/>
                <w:color w:val="auto"/>
                <w:sz w:val="20"/>
              </w:rPr>
            </w:pPr>
          </w:p>
          <w:p>
            <w:pPr>
              <w:pStyle w:val="24"/>
              <w:rPr>
                <w:rFonts w:hint="default" w:ascii="Times New Roman" w:hAnsi="Times New Roman" w:eastAsia="仿宋" w:cs="Times New Roman"/>
                <w:color w:val="auto"/>
                <w:sz w:val="20"/>
              </w:rPr>
            </w:pPr>
          </w:p>
          <w:p>
            <w:pPr>
              <w:pStyle w:val="24"/>
              <w:spacing w:before="134" w:line="278" w:lineRule="auto"/>
              <w:ind w:left="111" w:right="89"/>
              <w:jc w:val="both"/>
              <w:rPr>
                <w:rFonts w:hint="default" w:ascii="Times New Roman" w:hAnsi="Times New Roman" w:eastAsia="仿宋" w:cs="Times New Roman"/>
                <w:color w:val="auto"/>
                <w:sz w:val="21"/>
              </w:rPr>
            </w:pPr>
            <w:r>
              <w:rPr>
                <w:rFonts w:hint="default" w:ascii="Times New Roman" w:hAnsi="Times New Roman" w:eastAsia="仿宋" w:cs="Times New Roman"/>
                <w:color w:val="auto"/>
                <w:sz w:val="21"/>
              </w:rPr>
              <w:t>由总负责人编写监测总报告，由阶段负责人编写阶段报告（季报、总结报告），每个阶段负责人对各阶段数据负责，监测数据记录手册采用统一格式， 并有阶段负责人签字确认 。</w:t>
            </w:r>
          </w:p>
        </w:tc>
      </w:tr>
    </w:tbl>
    <w:p>
      <w:pPr>
        <w:pStyle w:val="3"/>
        <w:bidi w:val="0"/>
        <w:rPr>
          <w:rFonts w:hint="default" w:ascii="Times New Roman" w:hAnsi="Times New Roman" w:cs="Times New Roman"/>
          <w:color w:val="auto"/>
          <w:lang w:val="en-US" w:eastAsia="zh-CN"/>
        </w:rPr>
      </w:pPr>
      <w:bookmarkStart w:id="71" w:name="_Toc9768"/>
      <w:bookmarkStart w:id="72" w:name="_Toc12307"/>
      <w:bookmarkStart w:id="73" w:name="_Toc7383"/>
      <w:r>
        <w:rPr>
          <w:rFonts w:hint="default" w:ascii="Times New Roman" w:hAnsi="Times New Roman" w:cs="Times New Roman"/>
          <w:color w:val="auto"/>
          <w:lang w:val="en-US" w:eastAsia="zh-CN"/>
        </w:rPr>
        <w:t>5.2变更控制</w:t>
      </w:r>
      <w:bookmarkEnd w:id="71"/>
      <w:bookmarkEnd w:id="72"/>
      <w:bookmarkEnd w:id="7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由于水土保持监测工作的特殊性，在实际施工过程中，因征地、地质、施工等等因素，常常导致实际监测工作将会产生变更，因此，对于该部分应进行详细设计，以指导实际中的监测工作。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1、监测点变更控制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在实际监测工作中，因工程施工进度、实地布设条件不足等情况，均会导致监测点变更。因此，本监测设计就监测点发生变更的主要几种情况进行变更设计。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sectPr>
          <w:headerReference r:id="rId10" w:type="default"/>
          <w:pgSz w:w="11910" w:h="16840"/>
          <w:pgMar w:top="1440" w:right="1440" w:bottom="1440" w:left="1440" w:header="888" w:footer="994" w:gutter="0"/>
          <w:pgNumType w:fmt="decimal"/>
          <w:cols w:space="720" w:num="1"/>
        </w:sect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施工进度变化导致变更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如因工程施工进度变化，致使监测点不能按照本监测设计计划的时间进行布设，则可采取监测点布设时间后延的办法，待施工进度达到监测点布置要求时， 方可进行布设。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布设条件不足导致变更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监测点布设条件不足，主要是指监测设施布置条件不足。不同类型的监测设施，所需要的布置条件不同，由于开发建设项目监测的特殊性，监测设施需要在不干扰工程正常施工的前提下进行布设，这就给监测设施的选址和布设造成了一定影响，因而导致发生变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对于监测点变更的控制，主要遵循以下办法进行控制：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①布设时间后延：对于布设条件不足的地区，可采取将布设时间推后的办法，待该区域条件成熟后方可布设；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②布设地点变更：对于布设条件不足的地区，可以采取在该监测点附近的类似条件地区进行补设的办法进行弥补；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③监测设施变更：因监测设施布置的条件不满足的，可采取变更监测设施的方式进行调整，采取另外一种监测方法和设施进行观测；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④监测点数量变更：根据项目施工过程中的实际情况，监测点数量可发生变化，监测点数量主要以能尽量全面的反应工程施工过程中造成的水土流失情况为原则进行变更；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实地水土流失情况变化导致变更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因工程建设过程中的水土流失情况较为复杂，故在监测过程中，监测组将根据工程实际的水土流失变化情况来进行监测点的变更。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2、监测时段变更控制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因工程建设原因，导致监测时段有可能发生变化，工程实际的竣工日期较设计的发生变化，则监测时段做相应的调整即可。如遇到特殊情况（工程竣工延期时间较长，导致监测工作量大幅增加），则由监测单位和业主协商解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3、监测范围变更控制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rPr>
        <w:t>因工程征地、占地、扰动及破坏等原因，导致监测范围可能较设计的防治责任范围有所变化，对于该种类型的变更，实际的监测范围将以工程实际为主，监测工程建设实际发生的防治责任范围内的水土流失情况。</w:t>
      </w:r>
    </w:p>
    <w:p>
      <w:pPr>
        <w:pStyle w:val="3"/>
        <w:bidi w:val="0"/>
        <w:rPr>
          <w:rFonts w:hint="default" w:ascii="Times New Roman" w:hAnsi="Times New Roman" w:cs="Times New Roman"/>
          <w:color w:val="auto"/>
          <w:lang w:val="en-US" w:eastAsia="zh-CN"/>
        </w:rPr>
      </w:pPr>
      <w:bookmarkStart w:id="74" w:name="_Toc592"/>
      <w:bookmarkStart w:id="75" w:name="_Toc8402"/>
      <w:bookmarkStart w:id="76" w:name="_Toc17547"/>
      <w:r>
        <w:rPr>
          <w:rFonts w:hint="default" w:ascii="Times New Roman" w:hAnsi="Times New Roman" w:cs="Times New Roman"/>
          <w:color w:val="auto"/>
          <w:lang w:val="en-US" w:eastAsia="zh-CN"/>
        </w:rPr>
        <w:t>5.3质量控制体系</w:t>
      </w:r>
      <w:bookmarkEnd w:id="74"/>
      <w:bookmarkEnd w:id="75"/>
      <w:bookmarkEnd w:id="7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1</w:t>
      </w:r>
      <w:r>
        <w:rPr>
          <w:rFonts w:hint="default" w:ascii="Times New Roman" w:hAnsi="Times New Roman" w:cs="Times New Roman"/>
          <w:color w:val="auto"/>
          <w:lang w:eastAsia="zh-CN"/>
        </w:rPr>
        <w:t>）</w:t>
      </w:r>
      <w:r>
        <w:rPr>
          <w:rFonts w:hint="default" w:ascii="Times New Roman" w:hAnsi="Times New Roman" w:cs="Times New Roman"/>
          <w:color w:val="auto"/>
        </w:rPr>
        <w:t>所有监测人员均持证上岗。确定监测工作的组织领导机构、人员、责任以及资金管理使用制度。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2</w:t>
      </w:r>
      <w:r>
        <w:rPr>
          <w:rFonts w:hint="default" w:ascii="Times New Roman" w:hAnsi="Times New Roman" w:cs="Times New Roman"/>
          <w:color w:val="auto"/>
          <w:lang w:eastAsia="zh-CN"/>
        </w:rPr>
        <w:t>）</w:t>
      </w:r>
      <w:r>
        <w:rPr>
          <w:rFonts w:hint="default" w:ascii="Times New Roman" w:hAnsi="Times New Roman" w:cs="Times New Roman"/>
          <w:color w:val="auto"/>
        </w:rPr>
        <w:t>严格按照《水土保持监测技术规程》（SL277-2002）的有关要求布置监测点并进行定点观测。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3</w:t>
      </w:r>
      <w:r>
        <w:rPr>
          <w:rFonts w:hint="default" w:ascii="Times New Roman" w:hAnsi="Times New Roman" w:cs="Times New Roman"/>
          <w:color w:val="auto"/>
          <w:lang w:eastAsia="zh-CN"/>
        </w:rPr>
        <w:t>）</w:t>
      </w:r>
      <w:r>
        <w:rPr>
          <w:rFonts w:hint="default" w:ascii="Times New Roman" w:hAnsi="Times New Roman" w:cs="Times New Roman"/>
          <w:color w:val="auto"/>
        </w:rPr>
        <w:t>每次监测前，对仪器进行检验，合格后方可投入使用。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4</w:t>
      </w:r>
      <w:r>
        <w:rPr>
          <w:rFonts w:hint="default" w:ascii="Times New Roman" w:hAnsi="Times New Roman" w:cs="Times New Roman"/>
          <w:color w:val="auto"/>
          <w:lang w:eastAsia="zh-CN"/>
        </w:rPr>
        <w:t>）</w:t>
      </w:r>
      <w:r>
        <w:rPr>
          <w:rFonts w:hint="default" w:ascii="Times New Roman" w:hAnsi="Times New Roman" w:cs="Times New Roman"/>
          <w:color w:val="auto"/>
        </w:rPr>
        <w:t>加强监测数据的质量保证和质量控制体系，采集和收集的数据要及时整理、建档和建立数据库；建立各种数据需求模型，及时收集和挖掘历史资料，并建立数据库；如发现比较数据有大偏差时应找出原因，并在下次观测中进行改进。</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rPr>
      </w:pPr>
      <w:r>
        <w:rPr>
          <w:rFonts w:hint="default" w:ascii="Times New Roman" w:hAnsi="Times New Roman" w:cs="Times New Roman"/>
          <w:color w:val="auto"/>
          <w:lang w:eastAsia="zh-CN"/>
        </w:rPr>
        <w:t>（</w:t>
      </w:r>
      <w:r>
        <w:rPr>
          <w:rFonts w:hint="default" w:ascii="Times New Roman" w:hAnsi="Times New Roman" w:cs="Times New Roman"/>
          <w:color w:val="auto"/>
          <w:lang w:val="en-US" w:eastAsia="zh-CN"/>
        </w:rPr>
        <w:t>5</w:t>
      </w:r>
      <w:r>
        <w:rPr>
          <w:rFonts w:hint="default" w:ascii="Times New Roman" w:hAnsi="Times New Roman" w:cs="Times New Roman"/>
          <w:color w:val="auto"/>
          <w:lang w:eastAsia="zh-CN"/>
        </w:rPr>
        <w:t>）</w:t>
      </w:r>
      <w:r>
        <w:rPr>
          <w:rFonts w:hint="default" w:ascii="Times New Roman" w:hAnsi="Times New Roman" w:cs="Times New Roman"/>
          <w:color w:val="auto"/>
        </w:rPr>
        <w:t>在监测管理、质量保证和顾客满意度方面严格执行我院的质量管理体系。</w:t>
      </w:r>
    </w:p>
    <w:p>
      <w:pPr>
        <w:rPr>
          <w:rFonts w:hint="default" w:ascii="Times New Roman" w:hAnsi="Times New Roman" w:cs="Times New Roman"/>
          <w:color w:val="auto"/>
          <w:lang w:val="en-US" w:eastAsia="zh-CN"/>
        </w:rPr>
        <w:sectPr>
          <w:pgSz w:w="11906" w:h="16838"/>
          <w:pgMar w:top="1440" w:right="1440" w:bottom="1440" w:left="1440" w:header="851" w:footer="992" w:gutter="0"/>
          <w:pgNumType w:fmt="decimal"/>
          <w:cols w:space="425" w:num="1"/>
          <w:docGrid w:type="lines" w:linePitch="312" w:charSpace="0"/>
        </w:sectPr>
      </w:pPr>
    </w:p>
    <w:p>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pPr>
        <w:keepNext w:val="0"/>
        <w:keepLines w:val="0"/>
        <w:pageBreakBefore w:val="0"/>
        <w:widowControl w:val="0"/>
        <w:kinsoku/>
        <w:wordWrap/>
        <w:overflowPunct/>
        <w:topLinePunct w:val="0"/>
        <w:autoSpaceDE/>
        <w:autoSpaceDN/>
        <w:bidi w:val="0"/>
        <w:adjustRightInd/>
        <w:snapToGrid/>
        <w:spacing w:before="40" w:after="260" w:line="360" w:lineRule="auto"/>
        <w:jc w:val="both"/>
        <w:textAlignment w:val="auto"/>
        <w:outlineLvl w:val="9"/>
        <w:rPr>
          <w:rFonts w:hint="default" w:ascii="Times New Roman" w:hAnsi="Times New Roman" w:eastAsia="宋体" w:cs="Times New Roman"/>
          <w:color w:val="auto"/>
          <w:sz w:val="28"/>
          <w:szCs w:val="28"/>
          <w:highlight w:val="none"/>
          <w:lang w:val="en-US" w:eastAsia="zh-CN"/>
        </w:rPr>
      </w:pPr>
      <w:bookmarkStart w:id="77" w:name="_Toc17055"/>
      <w:bookmarkStart w:id="78" w:name="_Toc3014"/>
      <w:bookmarkStart w:id="79" w:name="_Toc19606"/>
      <w:bookmarkStart w:id="80" w:name="_Toc16842"/>
      <w:bookmarkStart w:id="81" w:name="_Toc3855"/>
      <w:bookmarkStart w:id="82" w:name="_Toc7146"/>
    </w:p>
    <w:p>
      <w:pPr>
        <w:keepNext w:val="0"/>
        <w:keepLines w:val="0"/>
        <w:pageBreakBefore w:val="0"/>
        <w:widowControl w:val="0"/>
        <w:kinsoku/>
        <w:wordWrap/>
        <w:overflowPunct/>
        <w:topLinePunct w:val="0"/>
        <w:autoSpaceDE/>
        <w:autoSpaceDN/>
        <w:bidi w:val="0"/>
        <w:adjustRightInd/>
        <w:snapToGrid/>
        <w:spacing w:before="40" w:after="260" w:line="360" w:lineRule="auto"/>
        <w:jc w:val="both"/>
        <w:textAlignment w:val="auto"/>
        <w:outlineLvl w:val="9"/>
        <w:rPr>
          <w:rFonts w:hint="default" w:ascii="Times New Roman" w:hAnsi="Times New Roman" w:eastAsia="宋体" w:cs="Times New Roman"/>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40" w:after="260" w:line="360" w:lineRule="auto"/>
        <w:jc w:val="both"/>
        <w:textAlignment w:val="auto"/>
        <w:outlineLvl w:val="9"/>
        <w:rPr>
          <w:rFonts w:hint="default" w:ascii="Times New Roman" w:hAnsi="Times New Roman" w:eastAsia="宋体" w:cs="Times New Roman"/>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40" w:after="260" w:line="360" w:lineRule="auto"/>
        <w:jc w:val="both"/>
        <w:textAlignment w:val="auto"/>
        <w:outlineLvl w:val="9"/>
        <w:rPr>
          <w:rFonts w:hint="default" w:ascii="Times New Roman" w:hAnsi="Times New Roman" w:eastAsia="宋体" w:cs="Times New Roman"/>
          <w:color w:val="auto"/>
          <w:sz w:val="28"/>
          <w:szCs w:val="28"/>
          <w:highlight w:val="none"/>
          <w:lang w:val="en-US" w:eastAsia="zh-CN"/>
        </w:rPr>
      </w:pPr>
    </w:p>
    <w:p>
      <w:pPr>
        <w:keepNext w:val="0"/>
        <w:keepLines w:val="0"/>
        <w:pageBreakBefore w:val="0"/>
        <w:widowControl w:val="0"/>
        <w:kinsoku/>
        <w:wordWrap/>
        <w:overflowPunct/>
        <w:topLinePunct w:val="0"/>
        <w:autoSpaceDE/>
        <w:autoSpaceDN/>
        <w:bidi w:val="0"/>
        <w:adjustRightInd/>
        <w:snapToGrid/>
        <w:spacing w:before="40" w:after="260" w:line="360" w:lineRule="auto"/>
        <w:jc w:val="center"/>
        <w:textAlignment w:val="auto"/>
        <w:outlineLvl w:val="1"/>
        <w:rPr>
          <w:rFonts w:hint="default" w:ascii="Times New Roman" w:hAnsi="Times New Roman" w:eastAsia="黑体" w:cs="Times New Roman"/>
          <w:color w:val="auto"/>
          <w:sz w:val="28"/>
          <w:szCs w:val="28"/>
          <w:highlight w:val="none"/>
          <w:lang w:val="en-US" w:eastAsia="zh-CN"/>
        </w:rPr>
      </w:pPr>
      <w:bookmarkStart w:id="83" w:name="_Toc31099"/>
      <w:r>
        <w:rPr>
          <w:rFonts w:hint="default" w:ascii="Times New Roman" w:hAnsi="Times New Roman" w:eastAsia="宋体" w:cs="Times New Roman"/>
          <w:color w:val="auto"/>
          <w:sz w:val="28"/>
          <w:szCs w:val="28"/>
          <w:highlight w:val="none"/>
          <w:lang w:val="en-US" w:eastAsia="zh-CN"/>
        </w:rPr>
        <w:t>华天路新建工程项目</w:t>
      </w:r>
      <w:bookmarkEnd w:id="77"/>
      <w:bookmarkEnd w:id="78"/>
      <w:bookmarkEnd w:id="79"/>
      <w:bookmarkEnd w:id="80"/>
      <w:bookmarkEnd w:id="81"/>
      <w:bookmarkEnd w:id="82"/>
      <w:bookmarkEnd w:id="83"/>
    </w:p>
    <w:p>
      <w:pPr>
        <w:spacing w:line="360" w:lineRule="auto"/>
        <w:jc w:val="center"/>
        <w:outlineLvl w:val="1"/>
        <w:rPr>
          <w:rFonts w:hint="default" w:ascii="Times New Roman" w:hAnsi="Times New Roman" w:eastAsia="黑体" w:cs="Times New Roman"/>
          <w:color w:val="auto"/>
          <w:sz w:val="52"/>
          <w:szCs w:val="52"/>
          <w:highlight w:val="none"/>
          <w:lang w:val="en-US" w:eastAsia="zh-CN"/>
        </w:rPr>
      </w:pPr>
      <w:bookmarkStart w:id="84" w:name="_Toc30696"/>
      <w:bookmarkStart w:id="85" w:name="_Toc22519"/>
      <w:bookmarkStart w:id="86" w:name="_Toc16403"/>
      <w:bookmarkStart w:id="87" w:name="_Toc14068"/>
      <w:bookmarkStart w:id="88" w:name="_Toc19927"/>
      <w:bookmarkStart w:id="89" w:name="_Toc23897"/>
      <w:bookmarkStart w:id="90" w:name="_Toc14752"/>
      <w:r>
        <w:rPr>
          <w:rFonts w:hint="default" w:ascii="Times New Roman" w:hAnsi="Times New Roman" w:eastAsia="黑体" w:cs="Times New Roman"/>
          <w:color w:val="auto"/>
          <w:sz w:val="72"/>
          <w:szCs w:val="72"/>
          <w:highlight w:val="none"/>
          <w:lang w:val="en-US" w:eastAsia="zh-CN"/>
        </w:rPr>
        <w:t>水土保持监测季报</w:t>
      </w:r>
      <w:bookmarkEnd w:id="84"/>
      <w:bookmarkEnd w:id="85"/>
      <w:bookmarkEnd w:id="86"/>
      <w:bookmarkEnd w:id="87"/>
      <w:bookmarkEnd w:id="88"/>
      <w:bookmarkEnd w:id="89"/>
      <w:bookmarkEnd w:id="90"/>
    </w:p>
    <w:p>
      <w:pPr>
        <w:spacing w:line="360" w:lineRule="auto"/>
        <w:jc w:val="center"/>
        <w:outlineLvl w:val="1"/>
        <w:rPr>
          <w:rFonts w:hint="default" w:ascii="Times New Roman" w:hAnsi="Times New Roman" w:eastAsia="黑体" w:cs="Times New Roman"/>
          <w:color w:val="auto"/>
          <w:sz w:val="28"/>
          <w:szCs w:val="28"/>
          <w:highlight w:val="none"/>
          <w:lang w:val="en-US" w:eastAsia="zh-CN"/>
        </w:rPr>
      </w:pPr>
      <w:bookmarkStart w:id="91" w:name="_Toc27094"/>
      <w:bookmarkStart w:id="92" w:name="_Toc27031"/>
      <w:bookmarkStart w:id="93" w:name="_Toc21367"/>
      <w:bookmarkStart w:id="94" w:name="_Toc65"/>
      <w:bookmarkStart w:id="95" w:name="_Toc5890"/>
      <w:bookmarkStart w:id="96" w:name="_Toc7478"/>
      <w:bookmarkStart w:id="97" w:name="_Toc10432"/>
      <w:r>
        <w:rPr>
          <w:rFonts w:hint="default" w:ascii="Times New Roman" w:hAnsi="Times New Roman" w:eastAsia="黑体" w:cs="Times New Roman"/>
          <w:color w:val="auto"/>
          <w:sz w:val="28"/>
          <w:szCs w:val="28"/>
          <w:highlight w:val="none"/>
          <w:lang w:val="en-US" w:eastAsia="zh-CN"/>
        </w:rPr>
        <w:t>（二</w:t>
      </w:r>
      <w:r>
        <w:rPr>
          <w:rFonts w:hint="default" w:ascii="Times New Roman" w:hAnsi="Times New Roman" w:eastAsia="黑体" w:cs="Times New Roman"/>
          <w:color w:val="auto"/>
          <w:sz w:val="28"/>
          <w:szCs w:val="28"/>
          <w:highlight w:val="none"/>
        </w:rPr>
        <w:t>〇</w:t>
      </w:r>
      <w:r>
        <w:rPr>
          <w:rFonts w:hint="default" w:ascii="Times New Roman" w:hAnsi="Times New Roman" w:eastAsia="黑体" w:cs="Times New Roman"/>
          <w:color w:val="auto"/>
          <w:sz w:val="28"/>
          <w:szCs w:val="28"/>
          <w:highlight w:val="none"/>
          <w:lang w:val="en-US" w:eastAsia="zh-CN"/>
        </w:rPr>
        <w:t>二一年第四季度）</w:t>
      </w:r>
      <w:bookmarkEnd w:id="91"/>
      <w:bookmarkEnd w:id="92"/>
      <w:bookmarkEnd w:id="93"/>
      <w:bookmarkEnd w:id="94"/>
      <w:bookmarkEnd w:id="95"/>
      <w:bookmarkEnd w:id="96"/>
      <w:bookmarkEnd w:id="97"/>
    </w:p>
    <w:p>
      <w:pPr>
        <w:spacing w:line="360" w:lineRule="auto"/>
        <w:jc w:val="both"/>
        <w:rPr>
          <w:rFonts w:hint="default" w:ascii="Times New Roman" w:hAnsi="Times New Roman" w:eastAsia="黑体" w:cs="Times New Roman"/>
          <w:color w:val="auto"/>
          <w:sz w:val="28"/>
          <w:szCs w:val="28"/>
          <w:highlight w:val="none"/>
          <w:lang w:val="en-US" w:eastAsia="zh-CN"/>
        </w:rPr>
      </w:pPr>
    </w:p>
    <w:p>
      <w:pPr>
        <w:spacing w:line="360" w:lineRule="auto"/>
        <w:jc w:val="both"/>
        <w:rPr>
          <w:rFonts w:hint="default" w:ascii="Times New Roman" w:hAnsi="Times New Roman" w:eastAsia="黑体" w:cs="Times New Roman"/>
          <w:color w:val="auto"/>
          <w:sz w:val="28"/>
          <w:szCs w:val="28"/>
          <w:highlight w:val="none"/>
          <w:lang w:val="en-US" w:eastAsia="zh-CN"/>
        </w:rPr>
      </w:pPr>
    </w:p>
    <w:p>
      <w:pPr>
        <w:spacing w:line="360" w:lineRule="auto"/>
        <w:jc w:val="both"/>
        <w:rPr>
          <w:rFonts w:hint="default" w:ascii="Times New Roman" w:hAnsi="Times New Roman" w:eastAsia="黑体" w:cs="Times New Roman"/>
          <w:color w:val="auto"/>
          <w:sz w:val="28"/>
          <w:szCs w:val="28"/>
          <w:highlight w:val="none"/>
          <w:lang w:val="en-US" w:eastAsia="zh-CN"/>
        </w:rPr>
      </w:pPr>
    </w:p>
    <w:p>
      <w:pPr>
        <w:spacing w:line="360" w:lineRule="auto"/>
        <w:jc w:val="both"/>
        <w:rPr>
          <w:rFonts w:hint="default" w:ascii="Times New Roman" w:hAnsi="Times New Roman" w:eastAsia="黑体" w:cs="Times New Roman"/>
          <w:color w:val="auto"/>
          <w:sz w:val="28"/>
          <w:szCs w:val="28"/>
          <w:highlight w:val="none"/>
          <w:lang w:val="en-US" w:eastAsia="zh-CN"/>
        </w:rPr>
      </w:pPr>
    </w:p>
    <w:p>
      <w:pPr>
        <w:spacing w:line="360" w:lineRule="auto"/>
        <w:jc w:val="both"/>
        <w:rPr>
          <w:rFonts w:hint="default" w:ascii="Times New Roman" w:hAnsi="Times New Roman" w:eastAsia="黑体" w:cs="Times New Roman"/>
          <w:color w:val="auto"/>
          <w:sz w:val="28"/>
          <w:szCs w:val="28"/>
          <w:highlight w:val="none"/>
          <w:lang w:val="en-US" w:eastAsia="zh-CN"/>
        </w:rPr>
      </w:pPr>
    </w:p>
    <w:p>
      <w:pPr>
        <w:spacing w:line="360" w:lineRule="auto"/>
        <w:jc w:val="both"/>
        <w:rPr>
          <w:rFonts w:hint="default" w:ascii="Times New Roman" w:hAnsi="Times New Roman" w:eastAsia="黑体" w:cs="Times New Roman"/>
          <w:color w:val="auto"/>
          <w:sz w:val="28"/>
          <w:szCs w:val="28"/>
          <w:highlight w:val="none"/>
          <w:lang w:val="en-US" w:eastAsia="zh-CN"/>
        </w:rPr>
      </w:pPr>
    </w:p>
    <w:p>
      <w:pPr>
        <w:spacing w:line="360" w:lineRule="auto"/>
        <w:jc w:val="both"/>
        <w:rPr>
          <w:rFonts w:hint="default" w:ascii="Times New Roman" w:hAnsi="Times New Roman" w:eastAsia="黑体" w:cs="Times New Roman"/>
          <w:color w:val="auto"/>
          <w:sz w:val="28"/>
          <w:szCs w:val="28"/>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928" w:firstLineChars="600"/>
        <w:jc w:val="left"/>
        <w:textAlignment w:val="auto"/>
        <w:rPr>
          <w:rFonts w:hint="default" w:ascii="Times New Roman" w:hAnsi="Times New Roman" w:eastAsia="宋体" w:cs="Times New Roman"/>
          <w:b/>
          <w:bCs/>
          <w:color w:val="auto"/>
          <w:sz w:val="32"/>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left="0" w:right="0" w:firstLine="1928" w:firstLineChars="600"/>
        <w:jc w:val="left"/>
        <w:textAlignment w:val="auto"/>
        <w:rPr>
          <w:rFonts w:hint="default" w:ascii="Times New Roman" w:hAnsi="Times New Roman" w:eastAsia="宋体" w:cs="Times New Roman"/>
          <w:b/>
          <w:bCs/>
          <w:color w:val="auto"/>
          <w:sz w:val="32"/>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jc w:val="center"/>
        <w:textAlignment w:val="auto"/>
        <w:rPr>
          <w:rFonts w:hint="default" w:ascii="Times New Roman" w:hAnsi="Times New Roman" w:eastAsia="宋体" w:cs="Times New Roman"/>
          <w:b/>
          <w:bCs/>
          <w:color w:val="auto"/>
          <w:sz w:val="32"/>
          <w:highlight w:val="none"/>
          <w:lang w:val="en-US" w:eastAsia="zh-CN"/>
        </w:rPr>
      </w:pPr>
      <w:r>
        <w:rPr>
          <w:rFonts w:hint="default" w:ascii="Times New Roman" w:hAnsi="Times New Roman" w:eastAsia="宋体" w:cs="Times New Roman"/>
          <w:b/>
          <w:bCs/>
          <w:color w:val="auto"/>
          <w:sz w:val="32"/>
          <w:highlight w:val="none"/>
          <w:lang w:val="en-US" w:eastAsia="zh-CN"/>
        </w:rPr>
        <w:t xml:space="preserve">  建设单位：衡阳市城市建设投资有限公司</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jc w:val="center"/>
        <w:textAlignment w:val="auto"/>
        <w:rPr>
          <w:rFonts w:hint="default" w:ascii="Times New Roman" w:hAnsi="Times New Roman" w:eastAsia="宋体" w:cs="Times New Roman"/>
          <w:b/>
          <w:bCs/>
          <w:color w:val="auto"/>
          <w:sz w:val="32"/>
          <w:highlight w:val="none"/>
        </w:rPr>
      </w:pPr>
      <w:r>
        <w:rPr>
          <w:rFonts w:hint="default" w:ascii="Times New Roman" w:hAnsi="Times New Roman" w:eastAsia="宋体" w:cs="Times New Roman"/>
          <w:b/>
          <w:bCs/>
          <w:color w:val="auto"/>
          <w:sz w:val="32"/>
          <w:highlight w:val="none"/>
          <w:lang w:val="en-US" w:eastAsia="zh-CN"/>
        </w:rPr>
        <w:t>监测单位：</w:t>
      </w:r>
      <w:r>
        <w:rPr>
          <w:rFonts w:hint="default" w:ascii="Times New Roman" w:hAnsi="Times New Roman" w:eastAsia="宋体" w:cs="Times New Roman"/>
          <w:b/>
          <w:bCs/>
          <w:color w:val="auto"/>
          <w:sz w:val="32"/>
          <w:highlight w:val="none"/>
        </w:rPr>
        <w:t>湖南</w:t>
      </w:r>
      <w:r>
        <w:rPr>
          <w:rFonts w:hint="default" w:ascii="Times New Roman" w:hAnsi="Times New Roman" w:eastAsia="宋体" w:cs="Times New Roman"/>
          <w:b/>
          <w:bCs/>
          <w:color w:val="auto"/>
          <w:sz w:val="32"/>
          <w:highlight w:val="none"/>
          <w:lang w:val="en-US" w:eastAsia="zh-CN"/>
        </w:rPr>
        <w:t>华意项目管理有限</w:t>
      </w:r>
      <w:r>
        <w:rPr>
          <w:rFonts w:hint="default" w:ascii="Times New Roman" w:hAnsi="Times New Roman" w:eastAsia="宋体" w:cs="Times New Roman"/>
          <w:b/>
          <w:bCs/>
          <w:color w:val="auto"/>
          <w:sz w:val="32"/>
          <w:highlight w:val="none"/>
        </w:rPr>
        <w:t>公司</w:t>
      </w:r>
    </w:p>
    <w:p>
      <w:pPr>
        <w:spacing w:line="360" w:lineRule="auto"/>
        <w:jc w:val="center"/>
        <w:rPr>
          <w:rFonts w:hint="default" w:ascii="Times New Roman" w:hAnsi="Times New Roman" w:eastAsia="黑体" w:cs="Times New Roman"/>
          <w:color w:val="auto"/>
          <w:sz w:val="28"/>
          <w:szCs w:val="28"/>
          <w:highlight w:val="none"/>
          <w:lang w:val="en-US" w:eastAsia="zh-CN"/>
        </w:rPr>
      </w:pPr>
      <w:r>
        <w:rPr>
          <w:rFonts w:hint="default" w:ascii="Times New Roman" w:hAnsi="Times New Roman" w:eastAsia="宋体" w:cs="Times New Roman"/>
          <w:b/>
          <w:bCs/>
          <w:color w:val="auto"/>
          <w:sz w:val="32"/>
          <w:highlight w:val="none"/>
        </w:rPr>
        <w:t xml:space="preserve">2021 年 </w:t>
      </w:r>
      <w:r>
        <w:rPr>
          <w:rFonts w:hint="default" w:ascii="Times New Roman" w:hAnsi="Times New Roman" w:eastAsia="宋体" w:cs="Times New Roman"/>
          <w:b/>
          <w:bCs/>
          <w:color w:val="auto"/>
          <w:sz w:val="32"/>
          <w:highlight w:val="none"/>
          <w:lang w:val="en-US" w:eastAsia="zh-CN"/>
        </w:rPr>
        <w:t>12</w:t>
      </w:r>
      <w:r>
        <w:rPr>
          <w:rFonts w:hint="default" w:ascii="Times New Roman" w:hAnsi="Times New Roman" w:eastAsia="宋体" w:cs="Times New Roman"/>
          <w:b/>
          <w:bCs/>
          <w:color w:val="auto"/>
          <w:sz w:val="32"/>
          <w:highlight w:val="none"/>
        </w:rPr>
        <w:t xml:space="preserve"> 月</w:t>
      </w: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p>
    <w:p>
      <w:pPr>
        <w:keepNext w:val="0"/>
        <w:keepLines w:val="0"/>
        <w:pageBreakBefore w:val="0"/>
        <w:widowControl w:val="0"/>
        <w:kinsoku/>
        <w:wordWrap/>
        <w:overflowPunct/>
        <w:topLinePunct w:val="0"/>
        <w:autoSpaceDE w:val="0"/>
        <w:autoSpaceDN w:val="0"/>
        <w:bidi w:val="0"/>
        <w:adjustRightInd/>
        <w:snapToGrid/>
        <w:spacing w:before="0" w:line="360" w:lineRule="auto"/>
        <w:ind w:right="0" w:firstLine="400"/>
        <w:jc w:val="center"/>
        <w:textAlignment w:val="auto"/>
        <w:rPr>
          <w:rFonts w:hint="default" w:ascii="Times New Roman" w:hAnsi="Times New Roman" w:eastAsia="宋体" w:cs="Times New Roman"/>
          <w:b/>
          <w:bCs/>
          <w:color w:val="auto"/>
          <w:sz w:val="28"/>
          <w:szCs w:val="28"/>
          <w:highlight w:val="none"/>
          <w:lang w:val="en-US" w:eastAsia="zh-CN"/>
        </w:rPr>
      </w:pPr>
      <w:r>
        <w:rPr>
          <w:rFonts w:hint="default" w:ascii="Times New Roman" w:hAnsi="Times New Roman" w:eastAsia="宋体" w:cs="Times New Roman"/>
          <w:b/>
          <w:bCs/>
          <w:color w:val="auto"/>
          <w:sz w:val="28"/>
          <w:szCs w:val="28"/>
          <w:highlight w:val="none"/>
          <w:lang w:val="en-US" w:eastAsia="zh-CN"/>
        </w:rPr>
        <w:t>华天路新建项目</w:t>
      </w:r>
    </w:p>
    <w:p>
      <w:pPr>
        <w:pStyle w:val="7"/>
        <w:keepNext w:val="0"/>
        <w:keepLines w:val="0"/>
        <w:pageBreakBefore w:val="0"/>
        <w:widowControl w:val="0"/>
        <w:tabs>
          <w:tab w:val="left" w:pos="420"/>
        </w:tabs>
        <w:kinsoku/>
        <w:wordWrap/>
        <w:overflowPunct/>
        <w:topLinePunct w:val="0"/>
        <w:autoSpaceDE/>
        <w:autoSpaceDN/>
        <w:bidi w:val="0"/>
        <w:adjustRightInd/>
        <w:snapToGrid/>
        <w:spacing w:after="0" w:afterLines="0" w:line="360" w:lineRule="auto"/>
        <w:ind w:left="0" w:leftChars="0" w:firstLine="0" w:firstLineChars="0"/>
        <w:jc w:val="distribute"/>
        <w:textAlignment w:val="auto"/>
        <w:rPr>
          <w:rFonts w:hint="default" w:ascii="Times New Roman" w:hAnsi="Times New Roman" w:eastAsia="黑体" w:cs="Times New Roman"/>
          <w:b w:val="0"/>
          <w:bCs w:val="0"/>
          <w:color w:val="auto"/>
          <w:kern w:val="10"/>
          <w:sz w:val="52"/>
          <w:szCs w:val="52"/>
          <w:highlight w:val="none"/>
          <w:lang w:val="en-US" w:eastAsia="zh-CN"/>
        </w:rPr>
      </w:pPr>
      <w:r>
        <w:rPr>
          <w:rFonts w:hint="default" w:ascii="Times New Roman" w:hAnsi="Times New Roman" w:eastAsia="黑体" w:cs="Times New Roman"/>
          <w:b w:val="0"/>
          <w:bCs w:val="0"/>
          <w:color w:val="auto"/>
          <w:kern w:val="10"/>
          <w:sz w:val="52"/>
          <w:szCs w:val="52"/>
          <w:highlight w:val="none"/>
          <w:lang w:val="en-US" w:eastAsia="zh-CN"/>
        </w:rPr>
        <w:t>水土保持监测总结报告责任页</w:t>
      </w:r>
    </w:p>
    <w:p>
      <w:pPr>
        <w:tabs>
          <w:tab w:val="left" w:pos="420"/>
        </w:tabs>
        <w:spacing w:line="360" w:lineRule="auto"/>
        <w:ind w:left="478" w:leftChars="198" w:hanging="3" w:firstLineChars="0"/>
        <w:jc w:val="center"/>
        <w:rPr>
          <w:rFonts w:hint="default" w:ascii="Times New Roman" w:hAnsi="Times New Roman" w:eastAsia="宋体" w:cs="Times New Roman"/>
          <w:b/>
          <w:bCs/>
          <w:color w:val="auto"/>
          <w:kern w:val="0"/>
          <w:sz w:val="28"/>
          <w:szCs w:val="28"/>
          <w:highlight w:val="none"/>
          <w:lang w:eastAsia="zh-CN"/>
        </w:rPr>
      </w:pPr>
      <w:r>
        <w:rPr>
          <w:rFonts w:hint="default" w:ascii="Times New Roman" w:hAnsi="Times New Roman" w:eastAsia="宋体" w:cs="Times New Roman"/>
          <w:b/>
          <w:bCs/>
          <w:color w:val="auto"/>
          <w:kern w:val="0"/>
          <w:sz w:val="28"/>
          <w:szCs w:val="28"/>
          <w:highlight w:val="none"/>
          <w:lang w:eastAsia="zh-CN"/>
        </w:rPr>
        <w:t>（湖南华意项目管理有限公司）</w:t>
      </w:r>
    </w:p>
    <w:p>
      <w:pPr>
        <w:pStyle w:val="18"/>
        <w:rPr>
          <w:rFonts w:hint="default" w:ascii="Times New Roman" w:hAnsi="Times New Roman" w:cs="Times New Roman"/>
          <w:color w:val="auto"/>
          <w:highlight w:val="none"/>
          <w:lang w:eastAsia="zh-CN"/>
        </w:rPr>
      </w:pPr>
    </w:p>
    <w:p>
      <w:pPr>
        <w:pStyle w:val="18"/>
        <w:rPr>
          <w:rFonts w:hint="default" w:ascii="Times New Roman" w:hAnsi="Times New Roman" w:cs="Times New Roman"/>
          <w:color w:val="auto"/>
          <w:highlight w:val="none"/>
          <w:lang w:eastAsia="zh-CN"/>
        </w:rPr>
      </w:pPr>
    </w:p>
    <w:p>
      <w:pPr>
        <w:rPr>
          <w:rFonts w:hint="default" w:ascii="Times New Roman" w:hAnsi="Times New Roman" w:cs="Times New Roman"/>
          <w:color w:val="auto"/>
          <w:highlight w:val="none"/>
          <w:lang w:eastAsia="zh-CN"/>
        </w:rPr>
      </w:pPr>
    </w:p>
    <w:p>
      <w:pPr>
        <w:tabs>
          <w:tab w:val="left" w:pos="420"/>
        </w:tabs>
        <w:spacing w:line="360" w:lineRule="auto"/>
        <w:ind w:left="478" w:leftChars="198" w:hanging="3" w:firstLineChars="0"/>
        <w:jc w:val="center"/>
        <w:rPr>
          <w:rFonts w:hint="default" w:ascii="Times New Roman" w:hAnsi="Times New Roman" w:eastAsia="宋体" w:cs="Times New Roman"/>
          <w:color w:val="auto"/>
          <w:kern w:val="0"/>
          <w:sz w:val="32"/>
          <w:szCs w:val="32"/>
          <w:highlight w:val="none"/>
          <w:lang w:eastAsia="zh-CN"/>
        </w:rPr>
      </w:pPr>
    </w:p>
    <w:p>
      <w:pPr>
        <w:pStyle w:val="18"/>
        <w:ind w:left="0" w:leftChars="0" w:firstLine="0" w:firstLineChars="0"/>
        <w:rPr>
          <w:rFonts w:hint="default" w:ascii="Times New Roman" w:hAnsi="Times New Roman" w:eastAsia="宋体" w:cs="Times New Roman"/>
          <w:color w:val="auto"/>
          <w:kern w:val="0"/>
          <w:sz w:val="32"/>
          <w:szCs w:val="32"/>
          <w:highlight w:val="none"/>
          <w:lang w:eastAsia="zh-CN"/>
        </w:rPr>
      </w:pPr>
    </w:p>
    <w:p>
      <w:pPr>
        <w:rPr>
          <w:rFonts w:hint="default" w:ascii="Times New Roman" w:hAnsi="Times New Roman" w:eastAsia="宋体" w:cs="Times New Roman"/>
          <w:color w:val="auto"/>
          <w:kern w:val="0"/>
          <w:sz w:val="32"/>
          <w:szCs w:val="32"/>
          <w:highlight w:val="none"/>
          <w:lang w:eastAsia="zh-CN"/>
        </w:rPr>
      </w:pPr>
    </w:p>
    <w:p>
      <w:pPr>
        <w:pStyle w:val="18"/>
        <w:rPr>
          <w:rFonts w:hint="default" w:ascii="Times New Roman" w:hAnsi="Times New Roman" w:cs="Times New Roman"/>
          <w:color w:val="auto"/>
          <w:highlight w:val="none"/>
          <w:lang w:eastAsia="zh-CN"/>
        </w:rPr>
      </w:pPr>
    </w:p>
    <w:p>
      <w:pPr>
        <w:rPr>
          <w:rFonts w:hint="default" w:ascii="Times New Roman" w:hAnsi="Times New Roman" w:cs="Times New Roman"/>
          <w:color w:val="auto"/>
          <w:highlight w:val="none"/>
          <w:lang w:eastAsia="zh-CN"/>
        </w:rPr>
      </w:pPr>
    </w:p>
    <w:p>
      <w:pPr>
        <w:pStyle w:val="18"/>
        <w:rPr>
          <w:rFonts w:hint="default" w:ascii="Times New Roman" w:hAnsi="Times New Roman" w:cs="Times New Roman"/>
          <w:color w:val="auto"/>
          <w:highlight w:val="none"/>
          <w:lang w:eastAsia="zh-CN"/>
        </w:rPr>
      </w:pPr>
    </w:p>
    <w:tbl>
      <w:tblPr>
        <w:tblStyle w:val="20"/>
        <w:tblpPr w:leftFromText="180" w:rightFromText="180" w:vertAnchor="text" w:horzAnchor="page" w:tblpXSpec="center" w:tblpY="374"/>
        <w:tblOverlap w:val="never"/>
        <w:tblW w:w="6537"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860"/>
        <w:gridCol w:w="1313"/>
        <w:gridCol w:w="1190"/>
        <w:gridCol w:w="1087"/>
        <w:gridCol w:w="1087"/>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highlight w:val="none"/>
                <w:vertAlign w:val="baseline"/>
                <w:lang w:val="en-US" w:eastAsia="zh-CN"/>
              </w:rPr>
            </w:pPr>
            <w:r>
              <w:rPr>
                <w:rFonts w:hint="default" w:ascii="Times New Roman" w:hAnsi="Times New Roman" w:eastAsia="宋体" w:cs="Times New Roman"/>
                <w:b w:val="0"/>
                <w:bCs w:val="0"/>
                <w:color w:val="auto"/>
                <w:kern w:val="0"/>
                <w:sz w:val="28"/>
                <w:szCs w:val="28"/>
                <w:highlight w:val="none"/>
                <w:vertAlign w:val="baseline"/>
                <w:lang w:val="en-US" w:eastAsia="zh-CN"/>
              </w:rPr>
              <w:t>批     准：</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default" w:ascii="Times New Roman" w:hAnsi="Times New Roman" w:eastAsia="宋体" w:cs="Times New Roman"/>
                <w:color w:val="auto"/>
                <w:kern w:val="0"/>
                <w:sz w:val="28"/>
                <w:szCs w:val="28"/>
                <w:highlight w:val="none"/>
                <w:vertAlign w:val="baseline"/>
                <w:lang w:val="en-US" w:eastAsia="zh-CN"/>
              </w:rPr>
              <w:t>莫俊华</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default" w:ascii="Times New Roman" w:hAnsi="Times New Roman" w:eastAsia="宋体" w:cs="Times New Roman"/>
                <w:color w:val="auto"/>
                <w:kern w:val="0"/>
                <w:sz w:val="28"/>
                <w:szCs w:val="28"/>
                <w:highlight w:val="none"/>
                <w:vertAlign w:val="baseline"/>
                <w:lang w:val="en-US" w:eastAsia="zh-CN"/>
              </w:rPr>
              <w:drawing>
                <wp:inline distT="0" distB="0" distL="114300" distR="114300">
                  <wp:extent cx="617220" cy="254635"/>
                  <wp:effectExtent l="0" t="0" r="7620" b="4445"/>
                  <wp:docPr id="53" name="图片 53" descr="莫俊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莫俊华"/>
                          <pic:cNvPicPr>
                            <a:picLocks noChangeAspect="1"/>
                          </pic:cNvPicPr>
                        </pic:nvPicPr>
                        <pic:blipFill>
                          <a:blip r:embed="rId36"/>
                          <a:stretch>
                            <a:fillRect/>
                          </a:stretch>
                        </pic:blipFill>
                        <pic:spPr>
                          <a:xfrm>
                            <a:off x="0" y="0"/>
                            <a:ext cx="617220" cy="25463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highlight w:val="none"/>
                <w:vertAlign w:val="baseline"/>
                <w:lang w:val="en-US" w:eastAsia="zh-CN"/>
              </w:rPr>
            </w:pPr>
            <w:r>
              <w:rPr>
                <w:rFonts w:hint="default" w:ascii="Times New Roman" w:hAnsi="Times New Roman" w:eastAsia="宋体" w:cs="Times New Roman"/>
                <w:b w:val="0"/>
                <w:bCs w:val="0"/>
                <w:color w:val="auto"/>
                <w:kern w:val="0"/>
                <w:sz w:val="28"/>
                <w:szCs w:val="28"/>
                <w:highlight w:val="none"/>
                <w:vertAlign w:val="baseline"/>
                <w:lang w:val="en-US" w:eastAsia="zh-CN"/>
              </w:rPr>
              <w:t>审     查：</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default" w:ascii="Times New Roman" w:hAnsi="Times New Roman" w:eastAsia="宋体" w:cs="Times New Roman"/>
                <w:color w:val="auto"/>
                <w:kern w:val="0"/>
                <w:sz w:val="28"/>
                <w:szCs w:val="28"/>
                <w:highlight w:val="none"/>
                <w:vertAlign w:val="baseline"/>
                <w:lang w:val="en-US" w:eastAsia="zh-CN"/>
              </w:rPr>
              <w:t>秦佳伟</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default" w:ascii="Times New Roman" w:hAnsi="Times New Roman" w:eastAsia="宋体" w:cs="Times New Roman"/>
                <w:color w:val="auto"/>
                <w:kern w:val="0"/>
                <w:sz w:val="28"/>
                <w:szCs w:val="28"/>
                <w:highlight w:val="none"/>
                <w:vertAlign w:val="baseline"/>
                <w:lang w:val="en-US" w:eastAsia="zh-CN"/>
              </w:rPr>
              <w:drawing>
                <wp:inline distT="0" distB="0" distL="114300" distR="114300">
                  <wp:extent cx="617855" cy="247650"/>
                  <wp:effectExtent l="0" t="0" r="6985" b="11430"/>
                  <wp:docPr id="54" name="图片 54" descr="秦佳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 name="图片 54" descr="秦佳伟"/>
                          <pic:cNvPicPr>
                            <a:picLocks noChangeAspect="1"/>
                          </pic:cNvPicPr>
                        </pic:nvPicPr>
                        <pic:blipFill>
                          <a:blip r:embed="rId37"/>
                          <a:stretch>
                            <a:fillRect/>
                          </a:stretch>
                        </pic:blipFill>
                        <pic:spPr>
                          <a:xfrm>
                            <a:off x="0" y="0"/>
                            <a:ext cx="617855" cy="247650"/>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highlight w:val="none"/>
                <w:vertAlign w:val="baseline"/>
                <w:lang w:val="en-US" w:eastAsia="zh-CN"/>
              </w:rPr>
            </w:pPr>
            <w:r>
              <w:rPr>
                <w:rFonts w:hint="default" w:ascii="Times New Roman" w:hAnsi="Times New Roman" w:eastAsia="宋体" w:cs="Times New Roman"/>
                <w:b w:val="0"/>
                <w:bCs w:val="0"/>
                <w:color w:val="auto"/>
                <w:kern w:val="0"/>
                <w:sz w:val="28"/>
                <w:szCs w:val="28"/>
                <w:highlight w:val="none"/>
                <w:vertAlign w:val="baseline"/>
                <w:lang w:val="en-US" w:eastAsia="zh-CN"/>
              </w:rPr>
              <w:t>校     核：</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default" w:ascii="Times New Roman" w:hAnsi="Times New Roman" w:eastAsia="宋体" w:cs="Times New Roman"/>
                <w:color w:val="auto"/>
                <w:kern w:val="0"/>
                <w:sz w:val="28"/>
                <w:szCs w:val="28"/>
                <w:highlight w:val="none"/>
                <w:vertAlign w:val="baseline"/>
                <w:lang w:val="en-US" w:eastAsia="zh-CN"/>
              </w:rPr>
              <w:t>阳衡辉</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default" w:ascii="Times New Roman" w:hAnsi="Times New Roman" w:eastAsia="宋体" w:cs="Times New Roman"/>
                <w:color w:val="auto"/>
                <w:kern w:val="0"/>
                <w:sz w:val="28"/>
                <w:szCs w:val="28"/>
                <w:highlight w:val="none"/>
                <w:vertAlign w:val="baseline"/>
                <w:lang w:val="en-US" w:eastAsia="zh-CN"/>
              </w:rPr>
              <w:drawing>
                <wp:inline distT="0" distB="0" distL="114300" distR="114300">
                  <wp:extent cx="617855" cy="309245"/>
                  <wp:effectExtent l="0" t="0" r="6985" b="10795"/>
                  <wp:docPr id="55" name="图片 55" descr="阳衡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descr="阳衡辉"/>
                          <pic:cNvPicPr>
                            <a:picLocks noChangeAspect="1"/>
                          </pic:cNvPicPr>
                        </pic:nvPicPr>
                        <pic:blipFill>
                          <a:blip r:embed="rId38"/>
                          <a:stretch>
                            <a:fillRect/>
                          </a:stretch>
                        </pic:blipFill>
                        <pic:spPr>
                          <a:xfrm>
                            <a:off x="0" y="0"/>
                            <a:ext cx="617855" cy="30924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distribute"/>
              <w:textAlignment w:val="auto"/>
              <w:outlineLvl w:val="9"/>
              <w:rPr>
                <w:rFonts w:hint="default" w:ascii="Times New Roman" w:hAnsi="Times New Roman" w:eastAsia="宋体" w:cs="Times New Roman"/>
                <w:b w:val="0"/>
                <w:bCs w:val="0"/>
                <w:color w:val="auto"/>
                <w:kern w:val="0"/>
                <w:sz w:val="28"/>
                <w:szCs w:val="28"/>
                <w:highlight w:val="none"/>
                <w:vertAlign w:val="baseline"/>
                <w:lang w:val="en-US" w:eastAsia="zh-CN"/>
              </w:rPr>
            </w:pPr>
            <w:r>
              <w:rPr>
                <w:rFonts w:hint="default" w:ascii="Times New Roman" w:hAnsi="Times New Roman" w:eastAsia="宋体" w:cs="Times New Roman"/>
                <w:b w:val="0"/>
                <w:bCs w:val="0"/>
                <w:color w:val="auto"/>
                <w:kern w:val="0"/>
                <w:sz w:val="28"/>
                <w:szCs w:val="28"/>
                <w:highlight w:val="none"/>
                <w:vertAlign w:val="baseline"/>
                <w:lang w:val="en-US" w:eastAsia="zh-CN"/>
              </w:rPr>
              <w:t>项目负责：</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eastAsia" w:ascii="Times New Roman" w:hAnsi="Times New Roman" w:eastAsia="宋体" w:cs="Times New Roman"/>
                <w:color w:val="auto"/>
                <w:kern w:val="0"/>
                <w:sz w:val="28"/>
                <w:szCs w:val="28"/>
                <w:highlight w:val="none"/>
                <w:vertAlign w:val="baseline"/>
                <w:lang w:val="en-US" w:eastAsia="zh-CN"/>
              </w:rPr>
              <w:t>尹靖雯</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default" w:ascii="Times New Roman" w:hAnsi="Times New Roman" w:eastAsia="宋体" w:cs="Times New Roman"/>
                <w:color w:val="auto"/>
                <w:kern w:val="0"/>
                <w:sz w:val="28"/>
                <w:szCs w:val="28"/>
                <w:highlight w:val="none"/>
                <w:vertAlign w:val="baseline"/>
                <w:lang w:val="en-US" w:eastAsia="zh-CN"/>
              </w:rPr>
              <w:drawing>
                <wp:inline distT="0" distB="0" distL="114300" distR="114300">
                  <wp:extent cx="615950" cy="454025"/>
                  <wp:effectExtent l="0" t="0" r="8890" b="3175"/>
                  <wp:docPr id="20" name="图片 20" descr="尹靖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尹靖雯"/>
                          <pic:cNvPicPr>
                            <a:picLocks noChangeAspect="1"/>
                          </pic:cNvPicPr>
                        </pic:nvPicPr>
                        <pic:blipFill>
                          <a:blip r:embed="rId39"/>
                          <a:stretch>
                            <a:fillRect/>
                          </a:stretch>
                        </pic:blipFill>
                        <pic:spPr>
                          <a:xfrm>
                            <a:off x="0" y="0"/>
                            <a:ext cx="615950" cy="454025"/>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firstLine="0" w:firstLineChars="0"/>
              <w:jc w:val="center"/>
              <w:textAlignment w:val="auto"/>
              <w:outlineLvl w:val="9"/>
              <w:rPr>
                <w:rFonts w:hint="default" w:ascii="Times New Roman" w:hAnsi="Times New Roman" w:eastAsia="宋体" w:cs="Times New Roman"/>
                <w:b w:val="0"/>
                <w:bCs w:val="0"/>
                <w:color w:val="auto"/>
                <w:kern w:val="0"/>
                <w:sz w:val="28"/>
                <w:szCs w:val="28"/>
                <w:highlight w:val="none"/>
                <w:vertAlign w:val="baseline"/>
                <w:lang w:val="en-US" w:eastAsia="zh-CN"/>
              </w:rPr>
            </w:pPr>
            <w:r>
              <w:rPr>
                <w:rFonts w:hint="default" w:ascii="Times New Roman" w:hAnsi="Times New Roman" w:eastAsia="宋体" w:cs="Times New Roman"/>
                <w:b w:val="0"/>
                <w:bCs w:val="0"/>
                <w:color w:val="auto"/>
                <w:kern w:val="0"/>
                <w:sz w:val="28"/>
                <w:szCs w:val="28"/>
                <w:highlight w:val="none"/>
                <w:vertAlign w:val="baseline"/>
                <w:lang w:val="en-US" w:eastAsia="zh-CN"/>
              </w:rPr>
              <w:t>编     写：</w:t>
            </w: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eastAsia" w:ascii="Times New Roman" w:hAnsi="Times New Roman" w:eastAsia="宋体" w:cs="Times New Roman"/>
                <w:color w:val="auto"/>
                <w:kern w:val="0"/>
                <w:sz w:val="28"/>
                <w:szCs w:val="28"/>
                <w:highlight w:val="none"/>
                <w:vertAlign w:val="baseline"/>
                <w:lang w:val="en-US" w:eastAsia="zh-CN"/>
              </w:rPr>
              <w:t>马 波</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default" w:ascii="Times New Roman" w:hAnsi="Times New Roman" w:eastAsia="宋体" w:cs="Times New Roman"/>
                <w:color w:val="auto"/>
                <w:kern w:val="0"/>
                <w:sz w:val="28"/>
                <w:szCs w:val="28"/>
                <w:highlight w:val="none"/>
                <w:vertAlign w:val="baseline"/>
                <w:lang w:val="en-US" w:eastAsia="zh-CN"/>
              </w:rPr>
              <w:drawing>
                <wp:inline distT="0" distB="0" distL="114300" distR="114300">
                  <wp:extent cx="615315" cy="316230"/>
                  <wp:effectExtent l="0" t="0" r="9525" b="3810"/>
                  <wp:docPr id="21" name="图片 21" descr="QQ图片20211231082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QQ图片20211231082442"/>
                          <pic:cNvPicPr>
                            <a:picLocks noChangeAspect="1"/>
                          </pic:cNvPicPr>
                        </pic:nvPicPr>
                        <pic:blipFill>
                          <a:blip r:embed="rId48"/>
                          <a:stretch>
                            <a:fillRect/>
                          </a:stretch>
                        </pic:blipFill>
                        <pic:spPr>
                          <a:xfrm>
                            <a:off x="0" y="0"/>
                            <a:ext cx="615315" cy="316230"/>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eastAsia" w:ascii="Times New Roman" w:hAnsi="Times New Roman" w:eastAsia="宋体" w:cs="Times New Roman"/>
                <w:color w:val="auto"/>
                <w:kern w:val="0"/>
                <w:sz w:val="28"/>
                <w:szCs w:val="28"/>
                <w:highlight w:val="none"/>
                <w:vertAlign w:val="baseline"/>
                <w:lang w:val="en-US" w:eastAsia="zh-CN"/>
              </w:rPr>
              <w:t>陈治军</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default" w:ascii="Times New Roman" w:hAnsi="Times New Roman" w:eastAsia="宋体" w:cs="Times New Roman"/>
                <w:color w:val="auto"/>
                <w:kern w:val="0"/>
                <w:sz w:val="28"/>
                <w:szCs w:val="28"/>
                <w:highlight w:val="none"/>
                <w:vertAlign w:val="baseline"/>
                <w:lang w:val="en-US" w:eastAsia="zh-CN"/>
              </w:rPr>
              <w:drawing>
                <wp:inline distT="0" distB="0" distL="114300" distR="114300">
                  <wp:extent cx="551815" cy="292100"/>
                  <wp:effectExtent l="0" t="0" r="12065" b="12700"/>
                  <wp:docPr id="48" name="图片 48" descr="陈治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陈治军"/>
                          <pic:cNvPicPr>
                            <a:picLocks noChangeAspect="1"/>
                          </pic:cNvPicPr>
                        </pic:nvPicPr>
                        <pic:blipFill>
                          <a:blip r:embed="rId42"/>
                          <a:stretch>
                            <a:fillRect/>
                          </a:stretch>
                        </pic:blipFill>
                        <pic:spPr>
                          <a:xfrm>
                            <a:off x="0" y="0"/>
                            <a:ext cx="551815" cy="292100"/>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bidi="zh-CN"/>
              </w:rPr>
            </w:pPr>
            <w:r>
              <w:rPr>
                <w:rFonts w:hint="eastAsia" w:ascii="Times New Roman" w:hAnsi="Times New Roman" w:eastAsia="宋体" w:cs="Times New Roman"/>
                <w:color w:val="auto"/>
                <w:kern w:val="0"/>
                <w:sz w:val="28"/>
                <w:szCs w:val="28"/>
                <w:highlight w:val="none"/>
                <w:vertAlign w:val="baseline"/>
                <w:lang w:val="en-US" w:eastAsia="zh-CN" w:bidi="zh-CN"/>
              </w:rPr>
              <w:t>刘洋铭</w:t>
            </w: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bidi="zh-CN"/>
              </w:rPr>
            </w:pPr>
            <w:r>
              <w:rPr>
                <w:rFonts w:hint="default" w:ascii="Times New Roman" w:hAnsi="Times New Roman" w:eastAsia="宋体" w:cs="Times New Roman"/>
                <w:color w:val="auto"/>
                <w:kern w:val="0"/>
                <w:sz w:val="28"/>
                <w:szCs w:val="28"/>
                <w:highlight w:val="none"/>
                <w:vertAlign w:val="baseline"/>
                <w:lang w:val="en-US" w:eastAsia="zh-CN" w:bidi="zh-CN"/>
              </w:rPr>
              <w:drawing>
                <wp:inline distT="0" distB="0" distL="114300" distR="114300">
                  <wp:extent cx="518160" cy="228600"/>
                  <wp:effectExtent l="0" t="0" r="0" b="0"/>
                  <wp:docPr id="13" name="图片 13" descr="微信图片_2021123108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图片 13" descr="微信图片_20211231083018"/>
                          <pic:cNvPicPr>
                            <a:picLocks noChangeAspect="1"/>
                          </pic:cNvPicPr>
                        </pic:nvPicPr>
                        <pic:blipFill>
                          <a:blip r:embed="rId49"/>
                          <a:stretch>
                            <a:fillRect/>
                          </a:stretch>
                        </pic:blipFill>
                        <pic:spPr>
                          <a:xfrm>
                            <a:off x="0" y="0"/>
                            <a:ext cx="518160" cy="228600"/>
                          </a:xfrm>
                          <a:prstGeom prst="rect">
                            <a:avLst/>
                          </a:prstGeom>
                        </pic:spPr>
                      </pic:pic>
                    </a:graphicData>
                  </a:graphic>
                </wp:inline>
              </w:drawing>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0" w:leftChars="0" w:right="0" w:rightChars="0"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bidi="zh-CN"/>
              </w:rPr>
            </w:pPr>
            <w:r>
              <w:rPr>
                <w:rFonts w:hint="eastAsia" w:ascii="Times New Roman" w:hAnsi="Times New Roman" w:eastAsia="宋体" w:cs="Times New Roman"/>
                <w:color w:val="auto"/>
                <w:kern w:val="0"/>
                <w:sz w:val="28"/>
                <w:szCs w:val="28"/>
                <w:highlight w:val="none"/>
                <w:vertAlign w:val="baseline"/>
                <w:lang w:val="en-US" w:eastAsia="zh-CN" w:bidi="zh-CN"/>
              </w:rPr>
              <w:t>刘宏志</w:t>
            </w: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r>
              <w:rPr>
                <w:rFonts w:hint="default" w:ascii="Times New Roman" w:hAnsi="Times New Roman" w:eastAsia="宋体" w:cs="Times New Roman"/>
                <w:color w:val="auto"/>
                <w:kern w:val="0"/>
                <w:sz w:val="28"/>
                <w:szCs w:val="28"/>
                <w:highlight w:val="none"/>
                <w:vertAlign w:val="baseline"/>
                <w:lang w:val="en-US" w:eastAsia="zh-CN"/>
              </w:rPr>
              <w:drawing>
                <wp:inline distT="0" distB="0" distL="114300" distR="114300">
                  <wp:extent cx="551815" cy="294005"/>
                  <wp:effectExtent l="0" t="0" r="12065" b="10795"/>
                  <wp:docPr id="50" name="图片 50" descr="刘宏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 name="图片 50" descr="刘宏志"/>
                          <pic:cNvPicPr>
                            <a:picLocks noChangeAspect="1"/>
                          </pic:cNvPicPr>
                        </pic:nvPicPr>
                        <pic:blipFill>
                          <a:blip r:embed="rId50"/>
                          <a:stretch>
                            <a:fillRect/>
                          </a:stretch>
                        </pic:blipFill>
                        <pic:spPr>
                          <a:xfrm>
                            <a:off x="0" y="0"/>
                            <a:ext cx="551815" cy="294005"/>
                          </a:xfrm>
                          <a:prstGeom prst="rect">
                            <a:avLst/>
                          </a:prstGeom>
                        </pic:spPr>
                      </pic:pic>
                    </a:graphicData>
                  </a:graphic>
                </wp:inline>
              </w:drawing>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exact"/>
          <w:jc w:val="center"/>
        </w:trPr>
        <w:tc>
          <w:tcPr>
            <w:tcW w:w="1860" w:type="dxa"/>
            <w:tcBorders>
              <w:tl2br w:val="nil"/>
              <w:tr2bl w:val="nil"/>
            </w:tcBorders>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leftChars="200" w:firstLine="0" w:firstLineChars="0"/>
              <w:jc w:val="distribute"/>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c>
          <w:tcPr>
            <w:tcW w:w="1313"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c>
          <w:tcPr>
            <w:tcW w:w="1190"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c>
          <w:tcPr>
            <w:tcW w:w="1087" w:type="dxa"/>
            <w:tcBorders>
              <w:tl2br w:val="nil"/>
              <w:tr2bl w:val="nil"/>
            </w:tcBorders>
            <w:vAlign w:val="center"/>
          </w:tcPr>
          <w:p>
            <w:pPr>
              <w:keepNext w:val="0"/>
              <w:keepLines w:val="0"/>
              <w:pageBreakBefore w:val="0"/>
              <w:widowControl w:val="0"/>
              <w:tabs>
                <w:tab w:val="left" w:pos="2520"/>
              </w:tabs>
              <w:kinsoku/>
              <w:wordWrap/>
              <w:overflowPunct/>
              <w:topLinePunct w:val="0"/>
              <w:autoSpaceDE/>
              <w:autoSpaceDN/>
              <w:bidi w:val="0"/>
              <w:adjustRightInd/>
              <w:snapToGrid/>
              <w:spacing w:line="240" w:lineRule="auto"/>
              <w:ind w:firstLine="0" w:firstLineChars="0"/>
              <w:jc w:val="center"/>
              <w:textAlignment w:val="auto"/>
              <w:outlineLvl w:val="9"/>
              <w:rPr>
                <w:rFonts w:hint="default" w:ascii="Times New Roman" w:hAnsi="Times New Roman" w:eastAsia="宋体" w:cs="Times New Roman"/>
                <w:color w:val="auto"/>
                <w:kern w:val="0"/>
                <w:sz w:val="28"/>
                <w:szCs w:val="28"/>
                <w:highlight w:val="none"/>
                <w:vertAlign w:val="baseline"/>
                <w:lang w:val="en-US" w:eastAsia="zh-CN"/>
              </w:rPr>
            </w:pPr>
          </w:p>
        </w:tc>
      </w:tr>
    </w:tbl>
    <w:p>
      <w:pPr>
        <w:spacing w:line="360" w:lineRule="auto"/>
        <w:jc w:val="both"/>
        <w:rPr>
          <w:rFonts w:hint="default" w:ascii="Times New Roman" w:hAnsi="Times New Roman" w:eastAsia="黑体" w:cs="Times New Roman"/>
          <w:color w:val="auto"/>
          <w:sz w:val="32"/>
          <w:szCs w:val="32"/>
          <w:highlight w:val="none"/>
          <w:lang w:val="en-US" w:eastAsia="zh-CN"/>
        </w:rPr>
      </w:pPr>
    </w:p>
    <w:p>
      <w:pPr>
        <w:spacing w:line="360" w:lineRule="auto"/>
        <w:jc w:val="both"/>
        <w:rPr>
          <w:rFonts w:hint="default" w:ascii="Times New Roman" w:hAnsi="Times New Roman" w:eastAsia="黑体" w:cs="Times New Roman"/>
          <w:color w:val="auto"/>
          <w:sz w:val="32"/>
          <w:szCs w:val="32"/>
          <w:highlight w:val="none"/>
          <w:lang w:val="en-US" w:eastAsia="zh-CN"/>
        </w:rPr>
      </w:pPr>
    </w:p>
    <w:p>
      <w:pPr>
        <w:spacing w:line="360" w:lineRule="auto"/>
        <w:jc w:val="both"/>
        <w:rPr>
          <w:rFonts w:hint="default" w:ascii="Times New Roman" w:hAnsi="Times New Roman" w:eastAsia="黑体" w:cs="Times New Roman"/>
          <w:color w:val="auto"/>
          <w:sz w:val="32"/>
          <w:szCs w:val="32"/>
          <w:highlight w:val="none"/>
          <w:lang w:val="en-US" w:eastAsia="zh-CN"/>
        </w:rPr>
      </w:pPr>
    </w:p>
    <w:p>
      <w:pPr>
        <w:spacing w:line="360" w:lineRule="auto"/>
        <w:jc w:val="both"/>
        <w:rPr>
          <w:rFonts w:hint="default" w:ascii="Times New Roman" w:hAnsi="Times New Roman" w:eastAsia="黑体" w:cs="Times New Roman"/>
          <w:color w:val="auto"/>
          <w:sz w:val="32"/>
          <w:szCs w:val="32"/>
          <w:highlight w:val="none"/>
          <w:lang w:val="en-US" w:eastAsia="zh-CN"/>
        </w:rPr>
      </w:pPr>
    </w:p>
    <w:p>
      <w:pPr>
        <w:spacing w:line="360" w:lineRule="auto"/>
        <w:jc w:val="both"/>
        <w:rPr>
          <w:rFonts w:hint="default" w:ascii="Times New Roman" w:hAnsi="Times New Roman" w:eastAsia="黑体" w:cs="Times New Roman"/>
          <w:color w:val="auto"/>
          <w:sz w:val="32"/>
          <w:szCs w:val="32"/>
          <w:highlight w:val="none"/>
          <w:lang w:val="en-US" w:eastAsia="zh-CN"/>
        </w:rPr>
      </w:pPr>
    </w:p>
    <w:p>
      <w:pPr>
        <w:spacing w:line="360" w:lineRule="auto"/>
        <w:jc w:val="both"/>
        <w:rPr>
          <w:rFonts w:hint="default" w:ascii="Times New Roman" w:hAnsi="Times New Roman" w:eastAsia="黑体" w:cs="Times New Roman"/>
          <w:color w:val="auto"/>
          <w:sz w:val="32"/>
          <w:szCs w:val="32"/>
          <w:highlight w:val="none"/>
          <w:lang w:val="en-US" w:eastAsia="zh-CN"/>
        </w:rPr>
      </w:pPr>
    </w:p>
    <w:p>
      <w:pPr>
        <w:spacing w:line="360" w:lineRule="auto"/>
        <w:jc w:val="both"/>
        <w:rPr>
          <w:rFonts w:hint="default" w:ascii="Times New Roman" w:hAnsi="Times New Roman" w:eastAsia="黑体" w:cs="Times New Roman"/>
          <w:color w:val="auto"/>
          <w:sz w:val="32"/>
          <w:szCs w:val="32"/>
          <w:highlight w:val="none"/>
          <w:lang w:val="en-US" w:eastAsia="zh-CN"/>
        </w:rPr>
      </w:pPr>
    </w:p>
    <w:p>
      <w:pPr>
        <w:spacing w:line="360" w:lineRule="auto"/>
        <w:jc w:val="both"/>
        <w:rPr>
          <w:rFonts w:hint="default" w:ascii="Times New Roman" w:hAnsi="Times New Roman" w:eastAsia="黑体" w:cs="Times New Roman"/>
          <w:color w:val="auto"/>
          <w:sz w:val="32"/>
          <w:szCs w:val="32"/>
          <w:highlight w:val="none"/>
          <w:lang w:val="en-US" w:eastAsia="zh-CN"/>
        </w:rPr>
      </w:pPr>
    </w:p>
    <w:p>
      <w:pPr>
        <w:spacing w:line="360" w:lineRule="auto"/>
        <w:jc w:val="both"/>
        <w:rPr>
          <w:rFonts w:hint="default" w:ascii="Times New Roman" w:hAnsi="Times New Roman" w:eastAsia="黑体" w:cs="Times New Roman"/>
          <w:color w:val="auto"/>
          <w:sz w:val="32"/>
          <w:szCs w:val="32"/>
          <w:highlight w:val="none"/>
          <w:lang w:val="en-US" w:eastAsia="zh-CN"/>
        </w:rPr>
      </w:pPr>
    </w:p>
    <w:p>
      <w:pPr>
        <w:spacing w:line="360" w:lineRule="auto"/>
        <w:jc w:val="both"/>
        <w:rPr>
          <w:rFonts w:hint="default" w:ascii="Times New Roman" w:hAnsi="Times New Roman" w:eastAsia="黑体" w:cs="Times New Roman"/>
          <w:color w:val="auto"/>
          <w:sz w:val="32"/>
          <w:szCs w:val="32"/>
          <w:highlight w:val="none"/>
          <w:lang w:val="en-US" w:eastAsia="zh-CN"/>
        </w:rPr>
      </w:pPr>
    </w:p>
    <w:p>
      <w:pPr>
        <w:spacing w:line="360" w:lineRule="auto"/>
        <w:jc w:val="both"/>
        <w:rPr>
          <w:rFonts w:hint="default" w:ascii="Times New Roman" w:hAnsi="Times New Roman" w:eastAsia="黑体" w:cs="Times New Roman"/>
          <w:color w:val="auto"/>
          <w:sz w:val="32"/>
          <w:szCs w:val="32"/>
          <w:highlight w:val="none"/>
          <w:lang w:val="en-US" w:eastAsia="zh-CN"/>
        </w:rPr>
      </w:pPr>
    </w:p>
    <w:p>
      <w:pPr>
        <w:pStyle w:val="18"/>
        <w:rPr>
          <w:rFonts w:hint="default" w:ascii="Times New Roman" w:hAnsi="Times New Roman" w:eastAsia="黑体" w:cs="Times New Roman"/>
          <w:color w:val="auto"/>
          <w:sz w:val="32"/>
          <w:szCs w:val="32"/>
          <w:highlight w:val="none"/>
          <w:lang w:val="en-US" w:eastAsia="zh-CN"/>
        </w:rPr>
      </w:pPr>
    </w:p>
    <w:p>
      <w:pPr>
        <w:rPr>
          <w:rFonts w:hint="default" w:ascii="Times New Roman" w:hAnsi="Times New Roman" w:cs="Times New Roman"/>
          <w:color w:val="auto"/>
          <w:highlight w:val="none"/>
          <w:lang w:val="en-US" w:eastAsia="zh-CN"/>
        </w:rPr>
        <w:sectPr>
          <w:headerReference r:id="rId11" w:type="default"/>
          <w:footerReference r:id="rId12" w:type="default"/>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sdt>
      <w:sdtPr>
        <w:rPr>
          <w:rFonts w:ascii="宋体" w:hAnsi="宋体" w:eastAsia="宋体" w:cstheme="minorBidi"/>
          <w:color w:val="auto"/>
          <w:kern w:val="2"/>
          <w:sz w:val="21"/>
          <w:szCs w:val="24"/>
          <w:highlight w:val="none"/>
          <w:lang w:val="en-US" w:eastAsia="zh-CN" w:bidi="ar-SA"/>
        </w:rPr>
        <w:id w:val="147481643"/>
        <w15:color w:val="DBDBDB"/>
        <w:docPartObj>
          <w:docPartGallery w:val="Table of Contents"/>
          <w:docPartUnique/>
        </w:docPartObj>
      </w:sdtPr>
      <w:sdtEndPr>
        <w:rPr>
          <w:rFonts w:hint="default" w:ascii="Times New Roman" w:hAnsi="Times New Roman" w:eastAsia="黑体" w:cs="Times New Roman"/>
          <w:b/>
          <w:color w:val="auto"/>
          <w:kern w:val="44"/>
          <w:sz w:val="32"/>
          <w:szCs w:val="24"/>
          <w:highlight w:val="none"/>
          <w:lang w:val="en-US" w:eastAsia="zh-CN" w:bidi="ar-SA"/>
        </w:rPr>
      </w:sdtEndPr>
      <w:sdtContent>
        <w:p>
          <w:pPr>
            <w:spacing w:before="0" w:beforeLines="0" w:after="0" w:afterLines="0" w:line="240" w:lineRule="auto"/>
            <w:ind w:left="0" w:leftChars="0" w:right="0" w:rightChars="0" w:firstLine="0" w:firstLineChars="0"/>
            <w:jc w:val="center"/>
            <w:rPr>
              <w:color w:val="auto"/>
              <w:highlight w:val="none"/>
            </w:rPr>
          </w:pPr>
          <w:bookmarkStart w:id="98" w:name="_Toc31901"/>
          <w:r>
            <w:rPr>
              <w:rFonts w:hint="eastAsia" w:ascii="黑体" w:hAnsi="黑体" w:eastAsia="黑体" w:cs="黑体"/>
              <w:color w:val="auto"/>
              <w:sz w:val="32"/>
              <w:szCs w:val="32"/>
              <w:highlight w:val="none"/>
            </w:rPr>
            <w:t>目录</w:t>
          </w:r>
          <w:r>
            <w:rPr>
              <w:rFonts w:hint="default" w:ascii="Times New Roman" w:hAnsi="Times New Roman" w:cs="Times New Roman"/>
              <w:color w:val="auto"/>
              <w:highlight w:val="none"/>
              <w:lang w:val="en-US" w:eastAsia="zh-CN"/>
            </w:rPr>
            <w:fldChar w:fldCharType="begin"/>
          </w:r>
          <w:r>
            <w:rPr>
              <w:rFonts w:hint="default" w:ascii="Times New Roman" w:hAnsi="Times New Roman" w:cs="Times New Roman"/>
              <w:color w:val="auto"/>
              <w:highlight w:val="none"/>
              <w:lang w:val="en-US" w:eastAsia="zh-CN"/>
            </w:rPr>
            <w:instrText xml:space="preserve">TOC \o "1-2" \h \u </w:instrText>
          </w:r>
          <w:r>
            <w:rPr>
              <w:rFonts w:hint="default" w:ascii="Times New Roman" w:hAnsi="Times New Roman" w:cs="Times New Roman"/>
              <w:color w:val="auto"/>
              <w:highlight w:val="none"/>
              <w:lang w:val="en-US" w:eastAsia="zh-CN"/>
            </w:rPr>
            <w:fldChar w:fldCharType="separate"/>
          </w:r>
        </w:p>
        <w:p>
          <w:pPr>
            <w:pStyle w:val="25"/>
            <w:tabs>
              <w:tab w:val="right" w:leader="dot" w:pos="9026"/>
            </w:tabs>
            <w:rPr>
              <w:rFonts w:hint="eastAsia" w:ascii="黑体" w:hAnsi="黑体" w:eastAsia="黑体" w:cs="黑体"/>
              <w:color w:val="auto"/>
              <w:kern w:val="2"/>
              <w:sz w:val="32"/>
              <w:szCs w:val="32"/>
              <w:highlight w:val="none"/>
              <w:lang w:val="en-US" w:eastAsia="zh-CN" w:bidi="ar-SA"/>
            </w:rPr>
          </w:pPr>
          <w:r>
            <w:rPr>
              <w:rFonts w:hint="default" w:ascii="黑体" w:hAnsi="黑体" w:eastAsia="黑体" w:cs="黑体"/>
              <w:color w:val="auto"/>
              <w:kern w:val="2"/>
              <w:sz w:val="32"/>
              <w:szCs w:val="32"/>
              <w:highlight w:val="none"/>
              <w:lang w:val="en-US" w:eastAsia="zh-CN" w:bidi="ar-SA"/>
            </w:rPr>
            <w:fldChar w:fldCharType="begin"/>
          </w:r>
          <w:r>
            <w:rPr>
              <w:rFonts w:hint="default" w:ascii="黑体" w:hAnsi="黑体" w:eastAsia="黑体" w:cs="黑体"/>
              <w:color w:val="auto"/>
              <w:kern w:val="2"/>
              <w:sz w:val="32"/>
              <w:szCs w:val="32"/>
              <w:highlight w:val="none"/>
              <w:lang w:val="en-US" w:eastAsia="zh-CN" w:bidi="ar-SA"/>
            </w:rPr>
            <w:instrText xml:space="preserve"> HYPERLINK \l _Toc18528 </w:instrText>
          </w:r>
          <w:r>
            <w:rPr>
              <w:rFonts w:hint="default" w:ascii="黑体" w:hAnsi="黑体" w:eastAsia="黑体" w:cs="黑体"/>
              <w:color w:val="auto"/>
              <w:kern w:val="2"/>
              <w:sz w:val="32"/>
              <w:szCs w:val="32"/>
              <w:highlight w:val="none"/>
              <w:lang w:val="en-US" w:eastAsia="zh-CN" w:bidi="ar-SA"/>
            </w:rPr>
            <w:fldChar w:fldCharType="separate"/>
          </w:r>
          <w:r>
            <w:rPr>
              <w:rFonts w:hint="default" w:ascii="黑体" w:hAnsi="黑体" w:eastAsia="黑体" w:cs="黑体"/>
              <w:color w:val="auto"/>
              <w:kern w:val="2"/>
              <w:sz w:val="32"/>
              <w:szCs w:val="32"/>
              <w:highlight w:val="none"/>
              <w:lang w:val="en-US" w:eastAsia="zh-CN" w:bidi="ar-SA"/>
            </w:rPr>
            <w:t>1 季度监测报告表</w:t>
          </w:r>
          <w:r>
            <w:rPr>
              <w:rFonts w:hint="eastAsia" w:ascii="黑体" w:hAnsi="黑体" w:eastAsia="黑体" w:cs="黑体"/>
              <w:color w:val="auto"/>
              <w:kern w:val="2"/>
              <w:sz w:val="32"/>
              <w:szCs w:val="32"/>
              <w:highlight w:val="none"/>
              <w:lang w:val="en-US" w:eastAsia="zh-CN" w:bidi="ar-SA"/>
            </w:rPr>
            <w:tab/>
          </w:r>
          <w:r>
            <w:rPr>
              <w:rFonts w:hint="eastAsia" w:ascii="黑体" w:hAnsi="黑体" w:eastAsia="黑体" w:cs="黑体"/>
              <w:color w:val="auto"/>
              <w:kern w:val="2"/>
              <w:sz w:val="32"/>
              <w:szCs w:val="32"/>
              <w:highlight w:val="none"/>
              <w:lang w:val="en-US" w:eastAsia="zh-CN" w:bidi="ar-SA"/>
            </w:rPr>
            <w:fldChar w:fldCharType="begin"/>
          </w:r>
          <w:r>
            <w:rPr>
              <w:rFonts w:hint="eastAsia" w:ascii="黑体" w:hAnsi="黑体" w:eastAsia="黑体" w:cs="黑体"/>
              <w:color w:val="auto"/>
              <w:kern w:val="2"/>
              <w:sz w:val="32"/>
              <w:szCs w:val="32"/>
              <w:highlight w:val="none"/>
              <w:lang w:val="en-US" w:eastAsia="zh-CN" w:bidi="ar-SA"/>
            </w:rPr>
            <w:instrText xml:space="preserve"> PAGEREF _Toc18528 \h </w:instrText>
          </w:r>
          <w:r>
            <w:rPr>
              <w:rFonts w:hint="eastAsia" w:ascii="黑体" w:hAnsi="黑体" w:eastAsia="黑体" w:cs="黑体"/>
              <w:color w:val="auto"/>
              <w:kern w:val="2"/>
              <w:sz w:val="32"/>
              <w:szCs w:val="32"/>
              <w:highlight w:val="none"/>
              <w:lang w:val="en-US" w:eastAsia="zh-CN" w:bidi="ar-SA"/>
            </w:rPr>
            <w:fldChar w:fldCharType="separate"/>
          </w:r>
          <w:r>
            <w:rPr>
              <w:rFonts w:hint="eastAsia" w:ascii="黑体" w:hAnsi="黑体" w:eastAsia="黑体" w:cs="黑体"/>
              <w:color w:val="auto"/>
              <w:kern w:val="2"/>
              <w:sz w:val="32"/>
              <w:szCs w:val="32"/>
              <w:highlight w:val="none"/>
              <w:lang w:val="en-US" w:eastAsia="zh-CN" w:bidi="ar-SA"/>
            </w:rPr>
            <w:t>48</w:t>
          </w:r>
          <w:r>
            <w:rPr>
              <w:rFonts w:hint="eastAsia" w:ascii="黑体" w:hAnsi="黑体" w:eastAsia="黑体" w:cs="黑体"/>
              <w:color w:val="auto"/>
              <w:kern w:val="2"/>
              <w:sz w:val="32"/>
              <w:szCs w:val="32"/>
              <w:highlight w:val="none"/>
              <w:lang w:val="en-US" w:eastAsia="zh-CN" w:bidi="ar-SA"/>
            </w:rPr>
            <w:fldChar w:fldCharType="end"/>
          </w:r>
          <w:r>
            <w:rPr>
              <w:rFonts w:hint="default" w:ascii="黑体" w:hAnsi="黑体" w:eastAsia="黑体" w:cs="黑体"/>
              <w:color w:val="auto"/>
              <w:kern w:val="2"/>
              <w:sz w:val="32"/>
              <w:szCs w:val="32"/>
              <w:highlight w:val="none"/>
              <w:lang w:val="en-US" w:eastAsia="zh-CN" w:bidi="ar-SA"/>
            </w:rPr>
            <w:fldChar w:fldCharType="end"/>
          </w:r>
        </w:p>
        <w:p>
          <w:pPr>
            <w:pStyle w:val="25"/>
            <w:tabs>
              <w:tab w:val="right" w:leader="dot" w:pos="9026"/>
            </w:tabs>
            <w:rPr>
              <w:rFonts w:hint="eastAsia" w:ascii="黑体" w:hAnsi="黑体" w:eastAsia="黑体" w:cs="黑体"/>
              <w:color w:val="auto"/>
              <w:kern w:val="2"/>
              <w:sz w:val="32"/>
              <w:szCs w:val="32"/>
              <w:highlight w:val="none"/>
              <w:lang w:val="en-US" w:eastAsia="zh-CN" w:bidi="ar-SA"/>
            </w:rPr>
          </w:pPr>
          <w:r>
            <w:rPr>
              <w:rFonts w:hint="default" w:ascii="黑体" w:hAnsi="黑体" w:eastAsia="黑体" w:cs="黑体"/>
              <w:color w:val="auto"/>
              <w:kern w:val="2"/>
              <w:sz w:val="32"/>
              <w:szCs w:val="32"/>
              <w:highlight w:val="none"/>
              <w:lang w:val="en-US" w:eastAsia="zh-CN" w:bidi="ar-SA"/>
            </w:rPr>
            <w:fldChar w:fldCharType="begin"/>
          </w:r>
          <w:r>
            <w:rPr>
              <w:rFonts w:hint="default" w:ascii="黑体" w:hAnsi="黑体" w:eastAsia="黑体" w:cs="黑体"/>
              <w:color w:val="auto"/>
              <w:kern w:val="2"/>
              <w:sz w:val="32"/>
              <w:szCs w:val="32"/>
              <w:highlight w:val="none"/>
              <w:lang w:val="en-US" w:eastAsia="zh-CN" w:bidi="ar-SA"/>
            </w:rPr>
            <w:instrText xml:space="preserve"> HYPERLINK \l _Toc12791 </w:instrText>
          </w:r>
          <w:r>
            <w:rPr>
              <w:rFonts w:hint="default" w:ascii="黑体" w:hAnsi="黑体" w:eastAsia="黑体" w:cs="黑体"/>
              <w:color w:val="auto"/>
              <w:kern w:val="2"/>
              <w:sz w:val="32"/>
              <w:szCs w:val="32"/>
              <w:highlight w:val="none"/>
              <w:lang w:val="en-US" w:eastAsia="zh-CN" w:bidi="ar-SA"/>
            </w:rPr>
            <w:fldChar w:fldCharType="separate"/>
          </w:r>
          <w:r>
            <w:rPr>
              <w:rFonts w:hint="default" w:ascii="黑体" w:hAnsi="黑体" w:eastAsia="黑体" w:cs="黑体"/>
              <w:color w:val="auto"/>
              <w:kern w:val="2"/>
              <w:sz w:val="32"/>
              <w:szCs w:val="32"/>
              <w:highlight w:val="none"/>
              <w:lang w:val="en-US" w:eastAsia="zh-CN" w:bidi="ar-SA"/>
            </w:rPr>
            <w:t>2 监测三色评价表</w:t>
          </w:r>
          <w:r>
            <w:rPr>
              <w:rFonts w:hint="eastAsia" w:ascii="黑体" w:hAnsi="黑体" w:eastAsia="黑体" w:cs="黑体"/>
              <w:color w:val="auto"/>
              <w:kern w:val="2"/>
              <w:sz w:val="32"/>
              <w:szCs w:val="32"/>
              <w:highlight w:val="none"/>
              <w:lang w:val="en-US" w:eastAsia="zh-CN" w:bidi="ar-SA"/>
            </w:rPr>
            <w:tab/>
          </w:r>
          <w:r>
            <w:rPr>
              <w:rFonts w:hint="eastAsia" w:ascii="黑体" w:hAnsi="黑体" w:eastAsia="黑体" w:cs="黑体"/>
              <w:color w:val="auto"/>
              <w:kern w:val="2"/>
              <w:sz w:val="32"/>
              <w:szCs w:val="32"/>
              <w:highlight w:val="none"/>
              <w:lang w:val="en-US" w:eastAsia="zh-CN" w:bidi="ar-SA"/>
            </w:rPr>
            <w:fldChar w:fldCharType="begin"/>
          </w:r>
          <w:r>
            <w:rPr>
              <w:rFonts w:hint="eastAsia" w:ascii="黑体" w:hAnsi="黑体" w:eastAsia="黑体" w:cs="黑体"/>
              <w:color w:val="auto"/>
              <w:kern w:val="2"/>
              <w:sz w:val="32"/>
              <w:szCs w:val="32"/>
              <w:highlight w:val="none"/>
              <w:lang w:val="en-US" w:eastAsia="zh-CN" w:bidi="ar-SA"/>
            </w:rPr>
            <w:instrText xml:space="preserve"> PAGEREF _Toc12791 \h </w:instrText>
          </w:r>
          <w:r>
            <w:rPr>
              <w:rFonts w:hint="eastAsia" w:ascii="黑体" w:hAnsi="黑体" w:eastAsia="黑体" w:cs="黑体"/>
              <w:color w:val="auto"/>
              <w:kern w:val="2"/>
              <w:sz w:val="32"/>
              <w:szCs w:val="32"/>
              <w:highlight w:val="none"/>
              <w:lang w:val="en-US" w:eastAsia="zh-CN" w:bidi="ar-SA"/>
            </w:rPr>
            <w:fldChar w:fldCharType="separate"/>
          </w:r>
          <w:r>
            <w:rPr>
              <w:rFonts w:hint="eastAsia" w:ascii="黑体" w:hAnsi="黑体" w:eastAsia="黑体" w:cs="黑体"/>
              <w:color w:val="auto"/>
              <w:kern w:val="2"/>
              <w:sz w:val="32"/>
              <w:szCs w:val="32"/>
              <w:highlight w:val="none"/>
              <w:lang w:val="en-US" w:eastAsia="zh-CN" w:bidi="ar-SA"/>
            </w:rPr>
            <w:t>50</w:t>
          </w:r>
          <w:r>
            <w:rPr>
              <w:rFonts w:hint="eastAsia" w:ascii="黑体" w:hAnsi="黑体" w:eastAsia="黑体" w:cs="黑体"/>
              <w:color w:val="auto"/>
              <w:kern w:val="2"/>
              <w:sz w:val="32"/>
              <w:szCs w:val="32"/>
              <w:highlight w:val="none"/>
              <w:lang w:val="en-US" w:eastAsia="zh-CN" w:bidi="ar-SA"/>
            </w:rPr>
            <w:fldChar w:fldCharType="end"/>
          </w:r>
          <w:r>
            <w:rPr>
              <w:rFonts w:hint="default" w:ascii="黑体" w:hAnsi="黑体" w:eastAsia="黑体" w:cs="黑体"/>
              <w:color w:val="auto"/>
              <w:kern w:val="2"/>
              <w:sz w:val="32"/>
              <w:szCs w:val="32"/>
              <w:highlight w:val="none"/>
              <w:lang w:val="en-US" w:eastAsia="zh-CN" w:bidi="ar-SA"/>
            </w:rPr>
            <w:fldChar w:fldCharType="end"/>
          </w:r>
        </w:p>
        <w:p>
          <w:pPr>
            <w:pStyle w:val="25"/>
            <w:tabs>
              <w:tab w:val="right" w:leader="dot" w:pos="9026"/>
            </w:tabs>
            <w:rPr>
              <w:b/>
              <w:color w:val="auto"/>
              <w:highlight w:val="none"/>
            </w:rPr>
          </w:pPr>
          <w:r>
            <w:rPr>
              <w:rFonts w:hint="default" w:ascii="黑体" w:hAnsi="黑体" w:eastAsia="黑体" w:cs="黑体"/>
              <w:color w:val="auto"/>
              <w:kern w:val="2"/>
              <w:sz w:val="32"/>
              <w:szCs w:val="32"/>
              <w:highlight w:val="none"/>
              <w:lang w:val="en-US" w:eastAsia="zh-CN" w:bidi="ar-SA"/>
            </w:rPr>
            <w:fldChar w:fldCharType="begin"/>
          </w:r>
          <w:r>
            <w:rPr>
              <w:rFonts w:hint="default" w:ascii="黑体" w:hAnsi="黑体" w:eastAsia="黑体" w:cs="黑体"/>
              <w:color w:val="auto"/>
              <w:kern w:val="2"/>
              <w:sz w:val="32"/>
              <w:szCs w:val="32"/>
              <w:highlight w:val="none"/>
              <w:lang w:val="en-US" w:eastAsia="zh-CN" w:bidi="ar-SA"/>
            </w:rPr>
            <w:instrText xml:space="preserve"> HYPERLINK \l _Toc8279 </w:instrText>
          </w:r>
          <w:r>
            <w:rPr>
              <w:rFonts w:hint="default" w:ascii="黑体" w:hAnsi="黑体" w:eastAsia="黑体" w:cs="黑体"/>
              <w:color w:val="auto"/>
              <w:kern w:val="2"/>
              <w:sz w:val="32"/>
              <w:szCs w:val="32"/>
              <w:highlight w:val="none"/>
              <w:lang w:val="en-US" w:eastAsia="zh-CN" w:bidi="ar-SA"/>
            </w:rPr>
            <w:fldChar w:fldCharType="separate"/>
          </w:r>
          <w:r>
            <w:rPr>
              <w:rFonts w:hint="default" w:ascii="黑体" w:hAnsi="黑体" w:eastAsia="黑体" w:cs="黑体"/>
              <w:color w:val="auto"/>
              <w:kern w:val="2"/>
              <w:sz w:val="32"/>
              <w:szCs w:val="32"/>
              <w:highlight w:val="none"/>
              <w:lang w:val="en-US" w:eastAsia="zh-CN" w:bidi="ar-SA"/>
            </w:rPr>
            <w:t>3 项目概况</w:t>
          </w:r>
          <w:r>
            <w:rPr>
              <w:rFonts w:hint="eastAsia" w:ascii="黑体" w:hAnsi="黑体" w:eastAsia="黑体" w:cs="黑体"/>
              <w:color w:val="auto"/>
              <w:kern w:val="2"/>
              <w:sz w:val="32"/>
              <w:szCs w:val="32"/>
              <w:highlight w:val="none"/>
              <w:lang w:val="en-US" w:eastAsia="zh-CN" w:bidi="ar-SA"/>
            </w:rPr>
            <w:tab/>
          </w:r>
          <w:r>
            <w:rPr>
              <w:rFonts w:hint="eastAsia" w:ascii="黑体" w:hAnsi="黑体" w:eastAsia="黑体" w:cs="黑体"/>
              <w:color w:val="auto"/>
              <w:kern w:val="2"/>
              <w:sz w:val="32"/>
              <w:szCs w:val="32"/>
              <w:highlight w:val="none"/>
              <w:lang w:val="en-US" w:eastAsia="zh-CN" w:bidi="ar-SA"/>
            </w:rPr>
            <w:fldChar w:fldCharType="begin"/>
          </w:r>
          <w:r>
            <w:rPr>
              <w:rFonts w:hint="eastAsia" w:ascii="黑体" w:hAnsi="黑体" w:eastAsia="黑体" w:cs="黑体"/>
              <w:color w:val="auto"/>
              <w:kern w:val="2"/>
              <w:sz w:val="32"/>
              <w:szCs w:val="32"/>
              <w:highlight w:val="none"/>
              <w:lang w:val="en-US" w:eastAsia="zh-CN" w:bidi="ar-SA"/>
            </w:rPr>
            <w:instrText xml:space="preserve"> PAGEREF _Toc8279 \h </w:instrText>
          </w:r>
          <w:r>
            <w:rPr>
              <w:rFonts w:hint="eastAsia" w:ascii="黑体" w:hAnsi="黑体" w:eastAsia="黑体" w:cs="黑体"/>
              <w:color w:val="auto"/>
              <w:kern w:val="2"/>
              <w:sz w:val="32"/>
              <w:szCs w:val="32"/>
              <w:highlight w:val="none"/>
              <w:lang w:val="en-US" w:eastAsia="zh-CN" w:bidi="ar-SA"/>
            </w:rPr>
            <w:fldChar w:fldCharType="separate"/>
          </w:r>
          <w:r>
            <w:rPr>
              <w:rFonts w:hint="eastAsia" w:ascii="黑体" w:hAnsi="黑体" w:eastAsia="黑体" w:cs="黑体"/>
              <w:color w:val="auto"/>
              <w:kern w:val="2"/>
              <w:sz w:val="32"/>
              <w:szCs w:val="32"/>
              <w:highlight w:val="none"/>
              <w:lang w:val="en-US" w:eastAsia="zh-CN" w:bidi="ar-SA"/>
            </w:rPr>
            <w:t>51</w:t>
          </w:r>
          <w:r>
            <w:rPr>
              <w:rFonts w:hint="eastAsia" w:ascii="黑体" w:hAnsi="黑体" w:eastAsia="黑体" w:cs="黑体"/>
              <w:color w:val="auto"/>
              <w:kern w:val="2"/>
              <w:sz w:val="32"/>
              <w:szCs w:val="32"/>
              <w:highlight w:val="none"/>
              <w:lang w:val="en-US" w:eastAsia="zh-CN" w:bidi="ar-SA"/>
            </w:rPr>
            <w:fldChar w:fldCharType="end"/>
          </w:r>
          <w:r>
            <w:rPr>
              <w:rFonts w:hint="default" w:ascii="黑体" w:hAnsi="黑体" w:eastAsia="黑体" w:cs="黑体"/>
              <w:color w:val="auto"/>
              <w:kern w:val="2"/>
              <w:sz w:val="32"/>
              <w:szCs w:val="32"/>
              <w:highlight w:val="none"/>
              <w:lang w:val="en-US" w:eastAsia="zh-CN" w:bidi="ar-SA"/>
            </w:rPr>
            <w:fldChar w:fldCharType="end"/>
          </w:r>
        </w:p>
        <w:p>
          <w:pPr>
            <w:pStyle w:val="26"/>
            <w:tabs>
              <w:tab w:val="right" w:leader="dot" w:pos="902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HYPERLINK \l _Toc23548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3.1 项目建设概括</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_Toc23548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51</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lang w:val="en-US" w:eastAsia="zh-CN"/>
            </w:rPr>
            <w:fldChar w:fldCharType="end"/>
          </w:r>
        </w:p>
        <w:p>
          <w:pPr>
            <w:pStyle w:val="26"/>
            <w:tabs>
              <w:tab w:val="right" w:leader="dot" w:pos="9026"/>
            </w:tabs>
            <w:rPr>
              <w:color w:val="auto"/>
              <w:highlight w:val="none"/>
            </w:rPr>
          </w:pP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HYPERLINK \l _Toc15013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3.2 开工至本季度末施工情况</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_Toc15013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54</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lang w:val="en-US" w:eastAsia="zh-CN"/>
            </w:rPr>
            <w:fldChar w:fldCharType="end"/>
          </w:r>
        </w:p>
        <w:p>
          <w:pPr>
            <w:pStyle w:val="25"/>
            <w:tabs>
              <w:tab w:val="right" w:leader="dot" w:pos="9026"/>
            </w:tabs>
            <w:rPr>
              <w:rFonts w:hint="default" w:ascii="黑体" w:hAnsi="黑体" w:eastAsia="黑体" w:cs="黑体"/>
              <w:color w:val="auto"/>
              <w:kern w:val="2"/>
              <w:sz w:val="32"/>
              <w:szCs w:val="32"/>
              <w:highlight w:val="none"/>
              <w:lang w:val="en-US" w:eastAsia="zh-CN" w:bidi="ar-SA"/>
            </w:rPr>
          </w:pPr>
          <w:r>
            <w:rPr>
              <w:rFonts w:hint="default" w:ascii="黑体" w:hAnsi="黑体" w:eastAsia="黑体" w:cs="黑体"/>
              <w:color w:val="auto"/>
              <w:kern w:val="2"/>
              <w:sz w:val="32"/>
              <w:szCs w:val="32"/>
              <w:highlight w:val="none"/>
              <w:lang w:val="en-US" w:eastAsia="zh-CN" w:bidi="ar-SA"/>
            </w:rPr>
            <w:fldChar w:fldCharType="begin"/>
          </w:r>
          <w:r>
            <w:rPr>
              <w:rFonts w:hint="default" w:ascii="黑体" w:hAnsi="黑体" w:eastAsia="黑体" w:cs="黑体"/>
              <w:color w:val="auto"/>
              <w:kern w:val="2"/>
              <w:sz w:val="32"/>
              <w:szCs w:val="32"/>
              <w:highlight w:val="none"/>
              <w:lang w:val="en-US" w:eastAsia="zh-CN" w:bidi="ar-SA"/>
            </w:rPr>
            <w:instrText xml:space="preserve"> HYPERLINK \l _Toc27399 </w:instrText>
          </w:r>
          <w:r>
            <w:rPr>
              <w:rFonts w:hint="default" w:ascii="黑体" w:hAnsi="黑体" w:eastAsia="黑体" w:cs="黑体"/>
              <w:color w:val="auto"/>
              <w:kern w:val="2"/>
              <w:sz w:val="32"/>
              <w:szCs w:val="32"/>
              <w:highlight w:val="none"/>
              <w:lang w:val="en-US" w:eastAsia="zh-CN" w:bidi="ar-SA"/>
            </w:rPr>
            <w:fldChar w:fldCharType="separate"/>
          </w:r>
          <w:r>
            <w:rPr>
              <w:rFonts w:hint="default" w:ascii="黑体" w:hAnsi="黑体" w:eastAsia="黑体" w:cs="黑体"/>
              <w:color w:val="auto"/>
              <w:kern w:val="2"/>
              <w:sz w:val="32"/>
              <w:szCs w:val="32"/>
              <w:highlight w:val="none"/>
              <w:lang w:val="en-US" w:eastAsia="zh-CN" w:bidi="ar-SA"/>
            </w:rPr>
            <w:t>4 主体工程进展</w:t>
          </w:r>
          <w:r>
            <w:rPr>
              <w:rFonts w:hint="default" w:ascii="黑体" w:hAnsi="黑体" w:eastAsia="黑体" w:cs="黑体"/>
              <w:color w:val="auto"/>
              <w:kern w:val="2"/>
              <w:sz w:val="32"/>
              <w:szCs w:val="32"/>
              <w:highlight w:val="none"/>
              <w:lang w:val="en-US" w:eastAsia="zh-CN" w:bidi="ar-SA"/>
            </w:rPr>
            <w:tab/>
          </w:r>
          <w:r>
            <w:rPr>
              <w:rFonts w:hint="default" w:ascii="黑体" w:hAnsi="黑体" w:eastAsia="黑体" w:cs="黑体"/>
              <w:color w:val="auto"/>
              <w:kern w:val="2"/>
              <w:sz w:val="32"/>
              <w:szCs w:val="32"/>
              <w:highlight w:val="none"/>
              <w:lang w:val="en-US" w:eastAsia="zh-CN" w:bidi="ar-SA"/>
            </w:rPr>
            <w:fldChar w:fldCharType="begin"/>
          </w:r>
          <w:r>
            <w:rPr>
              <w:rFonts w:hint="default" w:ascii="黑体" w:hAnsi="黑体" w:eastAsia="黑体" w:cs="黑体"/>
              <w:color w:val="auto"/>
              <w:kern w:val="2"/>
              <w:sz w:val="32"/>
              <w:szCs w:val="32"/>
              <w:highlight w:val="none"/>
              <w:lang w:val="en-US" w:eastAsia="zh-CN" w:bidi="ar-SA"/>
            </w:rPr>
            <w:instrText xml:space="preserve"> PAGEREF _Toc27399 \h </w:instrText>
          </w:r>
          <w:r>
            <w:rPr>
              <w:rFonts w:hint="default" w:ascii="黑体" w:hAnsi="黑体" w:eastAsia="黑体" w:cs="黑体"/>
              <w:color w:val="auto"/>
              <w:kern w:val="2"/>
              <w:sz w:val="32"/>
              <w:szCs w:val="32"/>
              <w:highlight w:val="none"/>
              <w:lang w:val="en-US" w:eastAsia="zh-CN" w:bidi="ar-SA"/>
            </w:rPr>
            <w:fldChar w:fldCharType="separate"/>
          </w:r>
          <w:r>
            <w:rPr>
              <w:rFonts w:hint="default" w:ascii="黑体" w:hAnsi="黑体" w:eastAsia="黑体" w:cs="黑体"/>
              <w:color w:val="auto"/>
              <w:kern w:val="2"/>
              <w:sz w:val="32"/>
              <w:szCs w:val="32"/>
              <w:highlight w:val="none"/>
              <w:lang w:val="en-US" w:eastAsia="zh-CN" w:bidi="ar-SA"/>
            </w:rPr>
            <w:t>54</w:t>
          </w:r>
          <w:r>
            <w:rPr>
              <w:rFonts w:hint="default" w:ascii="黑体" w:hAnsi="黑体" w:eastAsia="黑体" w:cs="黑体"/>
              <w:color w:val="auto"/>
              <w:kern w:val="2"/>
              <w:sz w:val="32"/>
              <w:szCs w:val="32"/>
              <w:highlight w:val="none"/>
              <w:lang w:val="en-US" w:eastAsia="zh-CN" w:bidi="ar-SA"/>
            </w:rPr>
            <w:fldChar w:fldCharType="end"/>
          </w:r>
          <w:r>
            <w:rPr>
              <w:rFonts w:hint="default" w:ascii="黑体" w:hAnsi="黑体" w:eastAsia="黑体" w:cs="黑体"/>
              <w:color w:val="auto"/>
              <w:kern w:val="2"/>
              <w:sz w:val="32"/>
              <w:szCs w:val="32"/>
              <w:highlight w:val="none"/>
              <w:lang w:val="en-US" w:eastAsia="zh-CN" w:bidi="ar-SA"/>
            </w:rPr>
            <w:fldChar w:fldCharType="end"/>
          </w:r>
        </w:p>
        <w:p>
          <w:pPr>
            <w:pStyle w:val="25"/>
            <w:tabs>
              <w:tab w:val="right" w:leader="dot" w:pos="9026"/>
            </w:tabs>
            <w:rPr>
              <w:b/>
              <w:color w:val="auto"/>
              <w:highlight w:val="none"/>
            </w:rPr>
          </w:pPr>
          <w:r>
            <w:rPr>
              <w:rFonts w:hint="default" w:ascii="黑体" w:hAnsi="黑体" w:eastAsia="黑体" w:cs="黑体"/>
              <w:color w:val="auto"/>
              <w:kern w:val="2"/>
              <w:sz w:val="32"/>
              <w:szCs w:val="32"/>
              <w:highlight w:val="none"/>
              <w:lang w:val="en-US" w:eastAsia="zh-CN" w:bidi="ar-SA"/>
            </w:rPr>
            <w:fldChar w:fldCharType="begin"/>
          </w:r>
          <w:r>
            <w:rPr>
              <w:rFonts w:hint="default" w:ascii="黑体" w:hAnsi="黑体" w:eastAsia="黑体" w:cs="黑体"/>
              <w:color w:val="auto"/>
              <w:kern w:val="2"/>
              <w:sz w:val="32"/>
              <w:szCs w:val="32"/>
              <w:highlight w:val="none"/>
              <w:lang w:val="en-US" w:eastAsia="zh-CN" w:bidi="ar-SA"/>
            </w:rPr>
            <w:instrText xml:space="preserve"> HYPERLINK \l _Toc5712 </w:instrText>
          </w:r>
          <w:r>
            <w:rPr>
              <w:rFonts w:hint="default" w:ascii="黑体" w:hAnsi="黑体" w:eastAsia="黑体" w:cs="黑体"/>
              <w:color w:val="auto"/>
              <w:kern w:val="2"/>
              <w:sz w:val="32"/>
              <w:szCs w:val="32"/>
              <w:highlight w:val="none"/>
              <w:lang w:val="en-US" w:eastAsia="zh-CN" w:bidi="ar-SA"/>
            </w:rPr>
            <w:fldChar w:fldCharType="separate"/>
          </w:r>
          <w:r>
            <w:rPr>
              <w:rFonts w:hint="default" w:ascii="黑体" w:hAnsi="黑体" w:eastAsia="黑体" w:cs="黑体"/>
              <w:color w:val="auto"/>
              <w:kern w:val="2"/>
              <w:sz w:val="32"/>
              <w:szCs w:val="32"/>
              <w:highlight w:val="none"/>
              <w:lang w:val="en-US" w:eastAsia="zh-CN" w:bidi="ar-SA"/>
            </w:rPr>
            <w:t>5 水土保持措施实施情况监测</w:t>
          </w:r>
          <w:r>
            <w:rPr>
              <w:rFonts w:hint="default" w:ascii="黑体" w:hAnsi="黑体" w:eastAsia="黑体" w:cs="黑体"/>
              <w:color w:val="auto"/>
              <w:kern w:val="2"/>
              <w:sz w:val="32"/>
              <w:szCs w:val="32"/>
              <w:highlight w:val="none"/>
              <w:lang w:val="en-US" w:eastAsia="zh-CN" w:bidi="ar-SA"/>
            </w:rPr>
            <w:tab/>
          </w:r>
          <w:r>
            <w:rPr>
              <w:rFonts w:hint="default" w:ascii="黑体" w:hAnsi="黑体" w:eastAsia="黑体" w:cs="黑体"/>
              <w:color w:val="auto"/>
              <w:kern w:val="2"/>
              <w:sz w:val="32"/>
              <w:szCs w:val="32"/>
              <w:highlight w:val="none"/>
              <w:lang w:val="en-US" w:eastAsia="zh-CN" w:bidi="ar-SA"/>
            </w:rPr>
            <w:fldChar w:fldCharType="begin"/>
          </w:r>
          <w:r>
            <w:rPr>
              <w:rFonts w:hint="default" w:ascii="黑体" w:hAnsi="黑体" w:eastAsia="黑体" w:cs="黑体"/>
              <w:color w:val="auto"/>
              <w:kern w:val="2"/>
              <w:sz w:val="32"/>
              <w:szCs w:val="32"/>
              <w:highlight w:val="none"/>
              <w:lang w:val="en-US" w:eastAsia="zh-CN" w:bidi="ar-SA"/>
            </w:rPr>
            <w:instrText xml:space="preserve"> PAGEREF _Toc5712 \h </w:instrText>
          </w:r>
          <w:r>
            <w:rPr>
              <w:rFonts w:hint="default" w:ascii="黑体" w:hAnsi="黑体" w:eastAsia="黑体" w:cs="黑体"/>
              <w:color w:val="auto"/>
              <w:kern w:val="2"/>
              <w:sz w:val="32"/>
              <w:szCs w:val="32"/>
              <w:highlight w:val="none"/>
              <w:lang w:val="en-US" w:eastAsia="zh-CN" w:bidi="ar-SA"/>
            </w:rPr>
            <w:fldChar w:fldCharType="separate"/>
          </w:r>
          <w:r>
            <w:rPr>
              <w:rFonts w:hint="default" w:ascii="黑体" w:hAnsi="黑体" w:eastAsia="黑体" w:cs="黑体"/>
              <w:color w:val="auto"/>
              <w:kern w:val="2"/>
              <w:sz w:val="32"/>
              <w:szCs w:val="32"/>
              <w:highlight w:val="none"/>
              <w:lang w:val="en-US" w:eastAsia="zh-CN" w:bidi="ar-SA"/>
            </w:rPr>
            <w:t>56</w:t>
          </w:r>
          <w:r>
            <w:rPr>
              <w:rFonts w:hint="default" w:ascii="黑体" w:hAnsi="黑体" w:eastAsia="黑体" w:cs="黑体"/>
              <w:color w:val="auto"/>
              <w:kern w:val="2"/>
              <w:sz w:val="32"/>
              <w:szCs w:val="32"/>
              <w:highlight w:val="none"/>
              <w:lang w:val="en-US" w:eastAsia="zh-CN" w:bidi="ar-SA"/>
            </w:rPr>
            <w:fldChar w:fldCharType="end"/>
          </w:r>
          <w:r>
            <w:rPr>
              <w:rFonts w:hint="default" w:ascii="黑体" w:hAnsi="黑体" w:eastAsia="黑体" w:cs="黑体"/>
              <w:color w:val="auto"/>
              <w:kern w:val="2"/>
              <w:sz w:val="32"/>
              <w:szCs w:val="32"/>
              <w:highlight w:val="none"/>
              <w:lang w:val="en-US" w:eastAsia="zh-CN" w:bidi="ar-SA"/>
            </w:rPr>
            <w:fldChar w:fldCharType="end"/>
          </w:r>
        </w:p>
        <w:p>
          <w:pPr>
            <w:pStyle w:val="26"/>
            <w:tabs>
              <w:tab w:val="right" w:leader="dot" w:pos="9026"/>
            </w:tabs>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_Toc9304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5.1 扰动土地面积</w:t>
          </w:r>
          <w:r>
            <w:rPr>
              <w:rFonts w:hint="eastAsia" w:ascii="仿宋" w:hAnsi="仿宋" w:eastAsia="仿宋" w:cs="仿宋"/>
              <w:color w:val="auto"/>
              <w:sz w:val="28"/>
              <w:szCs w:val="28"/>
              <w:highlight w:val="none"/>
              <w:lang w:val="en-US" w:eastAsia="zh-CN"/>
            </w:rPr>
            <w:tab/>
          </w: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PAGEREF _Toc9304 \h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56</w:t>
          </w:r>
          <w:r>
            <w:rPr>
              <w:rFonts w:hint="eastAsia"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26"/>
            <w:tabs>
              <w:tab w:val="right" w:leader="dot" w:pos="9026"/>
            </w:tabs>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_Toc15116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5.2 取土、弃土情况</w:t>
          </w:r>
          <w:r>
            <w:rPr>
              <w:rFonts w:hint="eastAsia" w:ascii="仿宋" w:hAnsi="仿宋" w:eastAsia="仿宋" w:cs="仿宋"/>
              <w:color w:val="auto"/>
              <w:sz w:val="28"/>
              <w:szCs w:val="28"/>
              <w:highlight w:val="none"/>
              <w:lang w:val="en-US" w:eastAsia="zh-CN"/>
            </w:rPr>
            <w:tab/>
          </w: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PAGEREF _Toc15116 \h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56</w:t>
          </w:r>
          <w:r>
            <w:rPr>
              <w:rFonts w:hint="eastAsia"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26"/>
            <w:tabs>
              <w:tab w:val="right" w:leader="dot" w:pos="9026"/>
            </w:tabs>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_Toc9020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5.3 水土流失监测</w:t>
          </w:r>
          <w:r>
            <w:rPr>
              <w:rFonts w:hint="eastAsia" w:ascii="仿宋" w:hAnsi="仿宋" w:eastAsia="仿宋" w:cs="仿宋"/>
              <w:color w:val="auto"/>
              <w:sz w:val="28"/>
              <w:szCs w:val="28"/>
              <w:highlight w:val="none"/>
              <w:lang w:val="en-US" w:eastAsia="zh-CN"/>
            </w:rPr>
            <w:tab/>
          </w: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PAGEREF _Toc9020 \h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57</w:t>
          </w:r>
          <w:r>
            <w:rPr>
              <w:rFonts w:hint="eastAsia"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26"/>
            <w:tabs>
              <w:tab w:val="right" w:leader="dot" w:pos="9026"/>
            </w:tabs>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_Toc22965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5.4 水土流失危害等</w:t>
          </w:r>
          <w:r>
            <w:rPr>
              <w:rFonts w:hint="eastAsia" w:ascii="仿宋" w:hAnsi="仿宋" w:eastAsia="仿宋" w:cs="仿宋"/>
              <w:color w:val="auto"/>
              <w:sz w:val="28"/>
              <w:szCs w:val="28"/>
              <w:highlight w:val="none"/>
              <w:lang w:val="en-US" w:eastAsia="zh-CN"/>
            </w:rPr>
            <w:tab/>
          </w: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PAGEREF _Toc22965 \h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57</w:t>
          </w:r>
          <w:r>
            <w:rPr>
              <w:rFonts w:hint="eastAsia"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26"/>
            <w:tabs>
              <w:tab w:val="right" w:leader="dot" w:pos="9026"/>
            </w:tabs>
            <w:rPr>
              <w:color w:val="auto"/>
              <w:highlight w:val="none"/>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_Toc19801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5.5 水土保持措施监测</w:t>
          </w:r>
          <w:r>
            <w:rPr>
              <w:rFonts w:hint="eastAsia" w:ascii="仿宋" w:hAnsi="仿宋" w:eastAsia="仿宋" w:cs="仿宋"/>
              <w:color w:val="auto"/>
              <w:sz w:val="28"/>
              <w:szCs w:val="28"/>
              <w:highlight w:val="none"/>
              <w:lang w:val="en-US" w:eastAsia="zh-CN"/>
            </w:rPr>
            <w:tab/>
          </w: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PAGEREF _Toc19801 \h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58</w:t>
          </w:r>
          <w:r>
            <w:rPr>
              <w:rFonts w:hint="eastAsia"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25"/>
            <w:tabs>
              <w:tab w:val="right" w:leader="dot" w:pos="9026"/>
            </w:tabs>
            <w:rPr>
              <w:rFonts w:hint="default" w:ascii="黑体" w:hAnsi="黑体" w:eastAsia="黑体" w:cs="黑体"/>
              <w:color w:val="auto"/>
              <w:kern w:val="2"/>
              <w:sz w:val="32"/>
              <w:szCs w:val="32"/>
              <w:highlight w:val="none"/>
              <w:lang w:val="en-US" w:eastAsia="zh-CN" w:bidi="ar-SA"/>
            </w:rPr>
          </w:pPr>
          <w:r>
            <w:rPr>
              <w:rFonts w:hint="default" w:ascii="黑体" w:hAnsi="黑体" w:eastAsia="黑体" w:cs="黑体"/>
              <w:color w:val="auto"/>
              <w:kern w:val="2"/>
              <w:sz w:val="32"/>
              <w:szCs w:val="32"/>
              <w:highlight w:val="none"/>
              <w:lang w:val="en-US" w:eastAsia="zh-CN" w:bidi="ar-SA"/>
            </w:rPr>
            <w:fldChar w:fldCharType="begin"/>
          </w:r>
          <w:r>
            <w:rPr>
              <w:rFonts w:hint="default" w:ascii="黑体" w:hAnsi="黑体" w:eastAsia="黑体" w:cs="黑体"/>
              <w:color w:val="auto"/>
              <w:kern w:val="2"/>
              <w:sz w:val="32"/>
              <w:szCs w:val="32"/>
              <w:highlight w:val="none"/>
              <w:lang w:val="en-US" w:eastAsia="zh-CN" w:bidi="ar-SA"/>
            </w:rPr>
            <w:instrText xml:space="preserve"> HYPERLINK \l _Toc16564 </w:instrText>
          </w:r>
          <w:r>
            <w:rPr>
              <w:rFonts w:hint="default" w:ascii="黑体" w:hAnsi="黑体" w:eastAsia="黑体" w:cs="黑体"/>
              <w:color w:val="auto"/>
              <w:kern w:val="2"/>
              <w:sz w:val="32"/>
              <w:szCs w:val="32"/>
              <w:highlight w:val="none"/>
              <w:lang w:val="en-US" w:eastAsia="zh-CN" w:bidi="ar-SA"/>
            </w:rPr>
            <w:fldChar w:fldCharType="separate"/>
          </w:r>
          <w:r>
            <w:rPr>
              <w:rFonts w:hint="default" w:ascii="黑体" w:hAnsi="黑体" w:eastAsia="黑体" w:cs="黑体"/>
              <w:color w:val="auto"/>
              <w:kern w:val="2"/>
              <w:sz w:val="32"/>
              <w:szCs w:val="32"/>
              <w:highlight w:val="none"/>
              <w:lang w:val="en-US" w:eastAsia="zh-CN" w:bidi="ar-SA"/>
            </w:rPr>
            <w:t>6 存在问题及解决措施</w:t>
          </w:r>
          <w:r>
            <w:rPr>
              <w:rFonts w:hint="default" w:ascii="黑体" w:hAnsi="黑体" w:eastAsia="黑体" w:cs="黑体"/>
              <w:color w:val="auto"/>
              <w:kern w:val="2"/>
              <w:sz w:val="32"/>
              <w:szCs w:val="32"/>
              <w:highlight w:val="none"/>
              <w:lang w:val="en-US" w:eastAsia="zh-CN" w:bidi="ar-SA"/>
            </w:rPr>
            <w:tab/>
          </w:r>
          <w:r>
            <w:rPr>
              <w:rFonts w:hint="default" w:ascii="黑体" w:hAnsi="黑体" w:eastAsia="黑体" w:cs="黑体"/>
              <w:color w:val="auto"/>
              <w:kern w:val="2"/>
              <w:sz w:val="32"/>
              <w:szCs w:val="32"/>
              <w:highlight w:val="none"/>
              <w:lang w:val="en-US" w:eastAsia="zh-CN" w:bidi="ar-SA"/>
            </w:rPr>
            <w:fldChar w:fldCharType="begin"/>
          </w:r>
          <w:r>
            <w:rPr>
              <w:rFonts w:hint="default" w:ascii="黑体" w:hAnsi="黑体" w:eastAsia="黑体" w:cs="黑体"/>
              <w:color w:val="auto"/>
              <w:kern w:val="2"/>
              <w:sz w:val="32"/>
              <w:szCs w:val="32"/>
              <w:highlight w:val="none"/>
              <w:lang w:val="en-US" w:eastAsia="zh-CN" w:bidi="ar-SA"/>
            </w:rPr>
            <w:instrText xml:space="preserve"> PAGEREF _Toc16564 \h </w:instrText>
          </w:r>
          <w:r>
            <w:rPr>
              <w:rFonts w:hint="default" w:ascii="黑体" w:hAnsi="黑体" w:eastAsia="黑体" w:cs="黑体"/>
              <w:color w:val="auto"/>
              <w:kern w:val="2"/>
              <w:sz w:val="32"/>
              <w:szCs w:val="32"/>
              <w:highlight w:val="none"/>
              <w:lang w:val="en-US" w:eastAsia="zh-CN" w:bidi="ar-SA"/>
            </w:rPr>
            <w:fldChar w:fldCharType="separate"/>
          </w:r>
          <w:r>
            <w:rPr>
              <w:rFonts w:hint="default" w:ascii="黑体" w:hAnsi="黑体" w:eastAsia="黑体" w:cs="黑体"/>
              <w:color w:val="auto"/>
              <w:kern w:val="2"/>
              <w:sz w:val="32"/>
              <w:szCs w:val="32"/>
              <w:highlight w:val="none"/>
              <w:lang w:val="en-US" w:eastAsia="zh-CN" w:bidi="ar-SA"/>
            </w:rPr>
            <w:t>61</w:t>
          </w:r>
          <w:r>
            <w:rPr>
              <w:rFonts w:hint="default" w:ascii="黑体" w:hAnsi="黑体" w:eastAsia="黑体" w:cs="黑体"/>
              <w:color w:val="auto"/>
              <w:kern w:val="2"/>
              <w:sz w:val="32"/>
              <w:szCs w:val="32"/>
              <w:highlight w:val="none"/>
              <w:lang w:val="en-US" w:eastAsia="zh-CN" w:bidi="ar-SA"/>
            </w:rPr>
            <w:fldChar w:fldCharType="end"/>
          </w:r>
          <w:r>
            <w:rPr>
              <w:rFonts w:hint="default" w:ascii="黑体" w:hAnsi="黑体" w:eastAsia="黑体" w:cs="黑体"/>
              <w:color w:val="auto"/>
              <w:kern w:val="2"/>
              <w:sz w:val="32"/>
              <w:szCs w:val="32"/>
              <w:highlight w:val="none"/>
              <w:lang w:val="en-US" w:eastAsia="zh-CN" w:bidi="ar-SA"/>
            </w:rPr>
            <w:fldChar w:fldCharType="end"/>
          </w:r>
        </w:p>
        <w:p>
          <w:pPr>
            <w:pStyle w:val="25"/>
            <w:tabs>
              <w:tab w:val="right" w:leader="dot" w:pos="9026"/>
            </w:tabs>
            <w:rPr>
              <w:b/>
              <w:color w:val="auto"/>
              <w:highlight w:val="none"/>
            </w:rPr>
          </w:pPr>
          <w:r>
            <w:rPr>
              <w:rFonts w:hint="default" w:ascii="黑体" w:hAnsi="黑体" w:eastAsia="黑体" w:cs="黑体"/>
              <w:color w:val="auto"/>
              <w:kern w:val="2"/>
              <w:sz w:val="32"/>
              <w:szCs w:val="32"/>
              <w:highlight w:val="none"/>
              <w:lang w:val="en-US" w:eastAsia="zh-CN" w:bidi="ar-SA"/>
            </w:rPr>
            <w:fldChar w:fldCharType="begin"/>
          </w:r>
          <w:r>
            <w:rPr>
              <w:rFonts w:hint="default" w:ascii="黑体" w:hAnsi="黑体" w:eastAsia="黑体" w:cs="黑体"/>
              <w:color w:val="auto"/>
              <w:kern w:val="2"/>
              <w:sz w:val="32"/>
              <w:szCs w:val="32"/>
              <w:highlight w:val="none"/>
              <w:lang w:val="en-US" w:eastAsia="zh-CN" w:bidi="ar-SA"/>
            </w:rPr>
            <w:instrText xml:space="preserve"> HYPERLINK \l _Toc25066 </w:instrText>
          </w:r>
          <w:r>
            <w:rPr>
              <w:rFonts w:hint="default" w:ascii="黑体" w:hAnsi="黑体" w:eastAsia="黑体" w:cs="黑体"/>
              <w:color w:val="auto"/>
              <w:kern w:val="2"/>
              <w:sz w:val="32"/>
              <w:szCs w:val="32"/>
              <w:highlight w:val="none"/>
              <w:lang w:val="en-US" w:eastAsia="zh-CN" w:bidi="ar-SA"/>
            </w:rPr>
            <w:fldChar w:fldCharType="separate"/>
          </w:r>
          <w:r>
            <w:rPr>
              <w:rFonts w:hint="default" w:ascii="黑体" w:hAnsi="黑体" w:eastAsia="黑体" w:cs="黑体"/>
              <w:color w:val="auto"/>
              <w:kern w:val="2"/>
              <w:sz w:val="32"/>
              <w:szCs w:val="32"/>
              <w:highlight w:val="none"/>
              <w:lang w:val="en-US" w:eastAsia="zh-CN" w:bidi="ar-SA"/>
            </w:rPr>
            <w:t>7 总结</w:t>
          </w:r>
          <w:r>
            <w:rPr>
              <w:rFonts w:hint="default" w:ascii="黑体" w:hAnsi="黑体" w:eastAsia="黑体" w:cs="黑体"/>
              <w:color w:val="auto"/>
              <w:kern w:val="2"/>
              <w:sz w:val="32"/>
              <w:szCs w:val="32"/>
              <w:highlight w:val="none"/>
              <w:lang w:val="en-US" w:eastAsia="zh-CN" w:bidi="ar-SA"/>
            </w:rPr>
            <w:tab/>
          </w:r>
          <w:r>
            <w:rPr>
              <w:rFonts w:hint="default" w:ascii="黑体" w:hAnsi="黑体" w:eastAsia="黑体" w:cs="黑体"/>
              <w:color w:val="auto"/>
              <w:kern w:val="2"/>
              <w:sz w:val="32"/>
              <w:szCs w:val="32"/>
              <w:highlight w:val="none"/>
              <w:lang w:val="en-US" w:eastAsia="zh-CN" w:bidi="ar-SA"/>
            </w:rPr>
            <w:fldChar w:fldCharType="begin"/>
          </w:r>
          <w:r>
            <w:rPr>
              <w:rFonts w:hint="default" w:ascii="黑体" w:hAnsi="黑体" w:eastAsia="黑体" w:cs="黑体"/>
              <w:color w:val="auto"/>
              <w:kern w:val="2"/>
              <w:sz w:val="32"/>
              <w:szCs w:val="32"/>
              <w:highlight w:val="none"/>
              <w:lang w:val="en-US" w:eastAsia="zh-CN" w:bidi="ar-SA"/>
            </w:rPr>
            <w:instrText xml:space="preserve"> PAGEREF _Toc25066 \h </w:instrText>
          </w:r>
          <w:r>
            <w:rPr>
              <w:rFonts w:hint="default" w:ascii="黑体" w:hAnsi="黑体" w:eastAsia="黑体" w:cs="黑体"/>
              <w:color w:val="auto"/>
              <w:kern w:val="2"/>
              <w:sz w:val="32"/>
              <w:szCs w:val="32"/>
              <w:highlight w:val="none"/>
              <w:lang w:val="en-US" w:eastAsia="zh-CN" w:bidi="ar-SA"/>
            </w:rPr>
            <w:fldChar w:fldCharType="separate"/>
          </w:r>
          <w:r>
            <w:rPr>
              <w:rFonts w:hint="default" w:ascii="黑体" w:hAnsi="黑体" w:eastAsia="黑体" w:cs="黑体"/>
              <w:color w:val="auto"/>
              <w:kern w:val="2"/>
              <w:sz w:val="32"/>
              <w:szCs w:val="32"/>
              <w:highlight w:val="none"/>
              <w:lang w:val="en-US" w:eastAsia="zh-CN" w:bidi="ar-SA"/>
            </w:rPr>
            <w:t>61</w:t>
          </w:r>
          <w:r>
            <w:rPr>
              <w:rFonts w:hint="default" w:ascii="黑体" w:hAnsi="黑体" w:eastAsia="黑体" w:cs="黑体"/>
              <w:color w:val="auto"/>
              <w:kern w:val="2"/>
              <w:sz w:val="32"/>
              <w:szCs w:val="32"/>
              <w:highlight w:val="none"/>
              <w:lang w:val="en-US" w:eastAsia="zh-CN" w:bidi="ar-SA"/>
            </w:rPr>
            <w:fldChar w:fldCharType="end"/>
          </w:r>
          <w:r>
            <w:rPr>
              <w:rFonts w:hint="default" w:ascii="黑体" w:hAnsi="黑体" w:eastAsia="黑体" w:cs="黑体"/>
              <w:color w:val="auto"/>
              <w:kern w:val="2"/>
              <w:sz w:val="32"/>
              <w:szCs w:val="32"/>
              <w:highlight w:val="none"/>
              <w:lang w:val="en-US" w:eastAsia="zh-CN" w:bidi="ar-SA"/>
            </w:rPr>
            <w:fldChar w:fldCharType="end"/>
          </w:r>
        </w:p>
        <w:p>
          <w:pPr>
            <w:pStyle w:val="2"/>
            <w:keepNext/>
            <w:keepLines/>
            <w:pageBreakBefore w:val="0"/>
            <w:widowControl w:val="0"/>
            <w:numPr>
              <w:ilvl w:val="0"/>
              <w:numId w:val="0"/>
            </w:numPr>
            <w:kinsoku/>
            <w:wordWrap/>
            <w:overflowPunct/>
            <w:topLinePunct w:val="0"/>
            <w:autoSpaceDE w:val="0"/>
            <w:autoSpaceDN w:val="0"/>
            <w:bidi w:val="0"/>
            <w:adjustRightInd/>
            <w:snapToGrid/>
            <w:spacing w:line="240" w:lineRule="auto"/>
            <w:jc w:val="both"/>
            <w:textAlignment w:val="auto"/>
            <w:outlineLvl w:val="9"/>
            <w:rPr>
              <w:rFonts w:hint="default" w:ascii="Times New Roman" w:hAnsi="Times New Roman" w:cs="Times New Roman"/>
              <w:color w:val="auto"/>
              <w:highlight w:val="none"/>
              <w:lang w:val="en-US" w:eastAsia="zh-CN"/>
            </w:rPr>
            <w:sectPr>
              <w:footerReference r:id="rId13" w:type="default"/>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cs="Times New Roman"/>
              <w:b/>
              <w:color w:val="auto"/>
              <w:highlight w:val="none"/>
              <w:lang w:val="en-US" w:eastAsia="zh-CN"/>
            </w:rPr>
            <w:fldChar w:fldCharType="end"/>
          </w:r>
        </w:p>
      </w:sdtContent>
    </w:sdt>
    <w:p>
      <w:pPr>
        <w:pStyle w:val="2"/>
        <w:keepNext/>
        <w:keepLines/>
        <w:pageBreakBefore w:val="0"/>
        <w:widowControl w:val="0"/>
        <w:numPr>
          <w:ilvl w:val="0"/>
          <w:numId w:val="0"/>
        </w:numPr>
        <w:kinsoku/>
        <w:wordWrap/>
        <w:overflowPunct/>
        <w:topLinePunct w:val="0"/>
        <w:autoSpaceDE w:val="0"/>
        <w:autoSpaceDN w:val="0"/>
        <w:bidi w:val="0"/>
        <w:adjustRightInd/>
        <w:snapToGrid/>
        <w:spacing w:line="240" w:lineRule="auto"/>
        <w:jc w:val="center"/>
        <w:textAlignment w:val="auto"/>
        <w:rPr>
          <w:rFonts w:hint="default" w:ascii="Times New Roman" w:hAnsi="Times New Roman" w:cs="Times New Roman"/>
          <w:color w:val="auto"/>
          <w:highlight w:val="none"/>
          <w:lang w:val="en-US" w:eastAsia="zh-CN"/>
        </w:rPr>
      </w:pPr>
      <w:bookmarkStart w:id="99" w:name="_Toc18528"/>
      <w:r>
        <w:rPr>
          <w:rFonts w:hint="default" w:ascii="Times New Roman" w:hAnsi="Times New Roman" w:cs="Times New Roman"/>
          <w:color w:val="auto"/>
          <w:highlight w:val="none"/>
          <w:lang w:val="en-US" w:eastAsia="zh-CN"/>
        </w:rPr>
        <w:t>1 季度监测报告表</w:t>
      </w:r>
      <w:bookmarkEnd w:id="99"/>
    </w:p>
    <w:p>
      <w:pPr>
        <w:jc w:val="center"/>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衡阳市华天路新建工程项目</w:t>
      </w:r>
    </w:p>
    <w:p>
      <w:pPr>
        <w:bidi w:val="0"/>
        <w:jc w:val="right"/>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监测时段：2021年10月～2021年12月</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95"/>
        <w:gridCol w:w="1075"/>
        <w:gridCol w:w="20"/>
        <w:gridCol w:w="203"/>
        <w:gridCol w:w="1252"/>
        <w:gridCol w:w="479"/>
        <w:gridCol w:w="257"/>
        <w:gridCol w:w="1380"/>
        <w:gridCol w:w="630"/>
        <w:gridCol w:w="750"/>
        <w:gridCol w:w="138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70" w:type="dxa"/>
            <w:gridSpan w:val="2"/>
            <w:vAlign w:val="center"/>
          </w:tcPr>
          <w:p>
            <w:pPr>
              <w:pStyle w:val="18"/>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项目名称</w:t>
            </w:r>
          </w:p>
        </w:tc>
        <w:tc>
          <w:tcPr>
            <w:tcW w:w="6352" w:type="dxa"/>
            <w:gridSpan w:val="9"/>
            <w:vAlign w:val="center"/>
          </w:tcPr>
          <w:p>
            <w:pPr>
              <w:pStyle w:val="18"/>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衡阳市华天路新建工程项目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306" w:hRule="atLeast"/>
        </w:trPr>
        <w:tc>
          <w:tcPr>
            <w:tcW w:w="2170" w:type="dxa"/>
            <w:gridSpan w:val="2"/>
            <w:vAlign w:val="center"/>
          </w:tcPr>
          <w:p>
            <w:pPr>
              <w:pStyle w:val="18"/>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建设单位联系人及电话</w:t>
            </w:r>
          </w:p>
        </w:tc>
        <w:tc>
          <w:tcPr>
            <w:tcW w:w="1954" w:type="dxa"/>
            <w:gridSpan w:val="4"/>
            <w:vAlign w:val="center"/>
          </w:tcPr>
          <w:p>
            <w:pPr>
              <w:pStyle w:val="18"/>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刘则悦</w:t>
            </w:r>
          </w:p>
          <w:p>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4"/>
                <w:szCs w:val="24"/>
                <w:highlight w:val="none"/>
                <w:vertAlign w:val="baseline"/>
                <w:lang w:val="en-US" w:eastAsia="zh-CN"/>
              </w:rPr>
              <w:t>13607346167</w:t>
            </w:r>
          </w:p>
        </w:tc>
        <w:tc>
          <w:tcPr>
            <w:tcW w:w="2267" w:type="dxa"/>
            <w:gridSpan w:val="3"/>
            <w:vMerge w:val="restart"/>
            <w:vAlign w:val="top"/>
          </w:tcPr>
          <w:p>
            <w:pPr>
              <w:pStyle w:val="18"/>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监测项目负责人（签字）：</w:t>
            </w:r>
          </w:p>
          <w:p>
            <w:pPr>
              <w:rPr>
                <w:rFonts w:hint="default" w:ascii="Times New Roman" w:hAnsi="Times New Roman" w:cs="Times New Roman"/>
                <w:color w:val="auto"/>
                <w:highlight w:val="none"/>
                <w:lang w:val="en-US" w:eastAsia="zh-CN"/>
              </w:rPr>
            </w:pPr>
          </w:p>
          <w:p>
            <w:pPr>
              <w:pStyle w:val="18"/>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pStyle w:val="18"/>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pStyle w:val="18"/>
              <w:jc w:val="right"/>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4"/>
                <w:szCs w:val="24"/>
                <w:highlight w:val="none"/>
                <w:vertAlign w:val="baseline"/>
                <w:lang w:val="en-US" w:eastAsia="zh-CN"/>
              </w:rPr>
              <w:t>年   月   日</w:t>
            </w:r>
          </w:p>
        </w:tc>
        <w:tc>
          <w:tcPr>
            <w:tcW w:w="2131" w:type="dxa"/>
            <w:gridSpan w:val="2"/>
            <w:vMerge w:val="restart"/>
            <w:vAlign w:val="top"/>
          </w:tcPr>
          <w:p>
            <w:pPr>
              <w:pStyle w:val="18"/>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生产建设单位（盖章）</w:t>
            </w:r>
          </w:p>
          <w:p>
            <w:pPr>
              <w:rPr>
                <w:rFonts w:hint="default" w:ascii="Times New Roman" w:hAnsi="Times New Roman" w:cs="Times New Roman"/>
                <w:color w:val="auto"/>
                <w:highlight w:val="none"/>
                <w:lang w:val="en-US" w:eastAsia="zh-CN"/>
              </w:rPr>
            </w:pPr>
          </w:p>
          <w:p>
            <w:pPr>
              <w:pStyle w:val="18"/>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pStyle w:val="18"/>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pStyle w:val="18"/>
              <w:jc w:val="right"/>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4"/>
                <w:szCs w:val="24"/>
                <w:highlight w:val="none"/>
                <w:vertAlign w:val="baseline"/>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9" w:hRule="atLeast"/>
        </w:trPr>
        <w:tc>
          <w:tcPr>
            <w:tcW w:w="2170" w:type="dxa"/>
            <w:gridSpan w:val="2"/>
            <w:vAlign w:val="center"/>
          </w:tcPr>
          <w:p>
            <w:pPr>
              <w:pStyle w:val="18"/>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填表人及电话</w:t>
            </w:r>
          </w:p>
        </w:tc>
        <w:tc>
          <w:tcPr>
            <w:tcW w:w="1954" w:type="dxa"/>
            <w:gridSpan w:val="4"/>
            <w:vAlign w:val="center"/>
          </w:tcPr>
          <w:p>
            <w:pPr>
              <w:pStyle w:val="18"/>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蒋茂</w:t>
            </w:r>
          </w:p>
          <w:p>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4"/>
                <w:szCs w:val="24"/>
                <w:highlight w:val="none"/>
                <w:vertAlign w:val="baseline"/>
                <w:lang w:val="en-US" w:eastAsia="zh-CN"/>
              </w:rPr>
              <w:t>18674758565</w:t>
            </w:r>
          </w:p>
        </w:tc>
        <w:tc>
          <w:tcPr>
            <w:tcW w:w="2267" w:type="dxa"/>
            <w:gridSpan w:val="3"/>
            <w:vMerge w:val="continue"/>
            <w:vAlign w:val="center"/>
          </w:tcPr>
          <w:p>
            <w:pPr>
              <w:pStyle w:val="18"/>
              <w:jc w:val="center"/>
              <w:rPr>
                <w:rFonts w:hint="default" w:ascii="Times New Roman" w:hAnsi="Times New Roman" w:cs="Times New Roman"/>
                <w:color w:val="auto"/>
                <w:sz w:val="24"/>
                <w:szCs w:val="24"/>
                <w:highlight w:val="none"/>
                <w:vertAlign w:val="baseline"/>
                <w:lang w:val="en-US" w:eastAsia="zh-CN"/>
              </w:rPr>
            </w:pPr>
          </w:p>
        </w:tc>
        <w:tc>
          <w:tcPr>
            <w:tcW w:w="2131" w:type="dxa"/>
            <w:gridSpan w:val="2"/>
            <w:vMerge w:val="continue"/>
            <w:vAlign w:val="center"/>
          </w:tcPr>
          <w:p>
            <w:pPr>
              <w:pStyle w:val="18"/>
              <w:jc w:val="center"/>
              <w:rPr>
                <w:rFonts w:hint="default" w:ascii="Times New Roman" w:hAnsi="Times New Roman"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2393" w:type="dxa"/>
            <w:gridSpan w:val="4"/>
            <w:vAlign w:val="center"/>
          </w:tcPr>
          <w:p>
            <w:pPr>
              <w:pStyle w:val="18"/>
              <w:ind w:left="0" w:leftChars="0" w:firstLine="0" w:firstLineChars="0"/>
              <w:jc w:val="left"/>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主体工程进度及现状</w:t>
            </w:r>
          </w:p>
        </w:tc>
        <w:tc>
          <w:tcPr>
            <w:tcW w:w="6129" w:type="dxa"/>
            <w:gridSpan w:val="7"/>
            <w:vAlign w:val="center"/>
          </w:tcPr>
          <w:p>
            <w:pPr>
              <w:pStyle w:val="18"/>
              <w:ind w:left="0" w:leftChars="0" w:firstLine="0" w:firstLineChars="0"/>
              <w:jc w:val="left"/>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截止本季末，道路已全部完工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9" w:hRule="atLeast"/>
        </w:trPr>
        <w:tc>
          <w:tcPr>
            <w:tcW w:w="4381" w:type="dxa"/>
            <w:gridSpan w:val="7"/>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指标</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设计总量</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本季度</w:t>
            </w:r>
          </w:p>
        </w:tc>
        <w:tc>
          <w:tcPr>
            <w:tcW w:w="1381"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2393" w:type="dxa"/>
            <w:gridSpan w:val="4"/>
            <w:vMerge w:val="restart"/>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扰动土地面积（</w:t>
            </w:r>
            <w:r>
              <w:rPr>
                <w:rFonts w:hint="default" w:ascii="Times New Roman" w:hAnsi="Times New Roman" w:eastAsia="仿宋_GB2312" w:cs="Times New Roman"/>
                <w:bCs/>
                <w:color w:val="auto"/>
                <w:sz w:val="24"/>
                <w:szCs w:val="24"/>
                <w:highlight w:val="none"/>
                <w:lang w:val="en-US" w:eastAsia="zh-CN" w:bidi="ar-SA"/>
              </w:rPr>
              <w:t>hm</w:t>
            </w:r>
            <w:r>
              <w:rPr>
                <w:rFonts w:hint="default" w:ascii="Times New Roman" w:hAnsi="Times New Roman" w:eastAsia="仿宋_GB2312" w:cs="Times New Roman"/>
                <w:bCs/>
                <w:color w:val="auto"/>
                <w:sz w:val="24"/>
                <w:szCs w:val="24"/>
                <w:highlight w:val="none"/>
                <w:vertAlign w:val="superscript"/>
                <w:lang w:val="en-US" w:eastAsia="zh-CN" w:bidi="ar-SA"/>
              </w:rPr>
              <w:t>2</w:t>
            </w:r>
            <w:r>
              <w:rPr>
                <w:rFonts w:hint="default" w:ascii="Times New Roman" w:hAnsi="Times New Roman" w:cs="Times New Roman"/>
                <w:color w:val="auto"/>
                <w:sz w:val="24"/>
                <w:szCs w:val="24"/>
                <w:highlight w:val="none"/>
                <w:vertAlign w:val="baseline"/>
                <w:lang w:val="en-US" w:eastAsia="zh-CN"/>
              </w:rPr>
              <w:t>）</w:t>
            </w:r>
          </w:p>
        </w:tc>
        <w:tc>
          <w:tcPr>
            <w:tcW w:w="1988" w:type="dxa"/>
            <w:gridSpan w:val="3"/>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合计</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8.51</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393" w:type="dxa"/>
            <w:gridSpan w:val="4"/>
            <w:vMerge w:val="continue"/>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p>
        </w:tc>
        <w:tc>
          <w:tcPr>
            <w:tcW w:w="1988" w:type="dxa"/>
            <w:gridSpan w:val="3"/>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主体工程区</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3.80</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2393" w:type="dxa"/>
            <w:gridSpan w:val="4"/>
            <w:vMerge w:val="continue"/>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p>
        </w:tc>
        <w:tc>
          <w:tcPr>
            <w:tcW w:w="1988" w:type="dxa"/>
            <w:gridSpan w:val="3"/>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附属设施区</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1.41</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2393" w:type="dxa"/>
            <w:gridSpan w:val="4"/>
            <w:vMerge w:val="continue"/>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p>
        </w:tc>
        <w:tc>
          <w:tcPr>
            <w:tcW w:w="1988" w:type="dxa"/>
            <w:gridSpan w:val="3"/>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弃渣回填区</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0.84</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2393" w:type="dxa"/>
            <w:gridSpan w:val="4"/>
            <w:vMerge w:val="continue"/>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p>
        </w:tc>
        <w:tc>
          <w:tcPr>
            <w:tcW w:w="1988" w:type="dxa"/>
            <w:gridSpan w:val="3"/>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取土场区</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2.00</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2393" w:type="dxa"/>
            <w:gridSpan w:val="4"/>
            <w:vMerge w:val="continue"/>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p>
        </w:tc>
        <w:tc>
          <w:tcPr>
            <w:tcW w:w="1988" w:type="dxa"/>
            <w:gridSpan w:val="3"/>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施工便道区</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0.05</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2393" w:type="dxa"/>
            <w:gridSpan w:val="4"/>
            <w:vMerge w:val="continue"/>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p>
        </w:tc>
        <w:tc>
          <w:tcPr>
            <w:tcW w:w="1988" w:type="dxa"/>
            <w:gridSpan w:val="3"/>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施工生产生活区</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0.20</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2393" w:type="dxa"/>
            <w:gridSpan w:val="4"/>
            <w:vMerge w:val="continue"/>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p>
        </w:tc>
        <w:tc>
          <w:tcPr>
            <w:tcW w:w="1988" w:type="dxa"/>
            <w:gridSpan w:val="3"/>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表土堆放区</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0.21</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4381" w:type="dxa"/>
            <w:gridSpan w:val="7"/>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植被被占压面积（</w:t>
            </w:r>
            <w:r>
              <w:rPr>
                <w:rFonts w:hint="default" w:ascii="Times New Roman" w:hAnsi="Times New Roman" w:eastAsia="仿宋_GB2312" w:cs="Times New Roman"/>
                <w:bCs/>
                <w:color w:val="auto"/>
                <w:sz w:val="24"/>
                <w:szCs w:val="24"/>
                <w:highlight w:val="none"/>
                <w:lang w:val="en-US" w:eastAsia="zh-CN" w:bidi="ar-SA"/>
              </w:rPr>
              <w:t>hm</w:t>
            </w:r>
            <w:r>
              <w:rPr>
                <w:rFonts w:hint="default" w:ascii="Times New Roman" w:hAnsi="Times New Roman" w:eastAsia="仿宋_GB2312" w:cs="Times New Roman"/>
                <w:bCs/>
                <w:color w:val="auto"/>
                <w:sz w:val="24"/>
                <w:szCs w:val="24"/>
                <w:highlight w:val="none"/>
                <w:vertAlign w:val="superscript"/>
                <w:lang w:val="en-US" w:eastAsia="zh-CN" w:bidi="ar-SA"/>
              </w:rPr>
              <w:t>2</w:t>
            </w:r>
            <w:r>
              <w:rPr>
                <w:rFonts w:hint="default" w:ascii="Times New Roman" w:hAnsi="Times New Roman" w:cs="Times New Roman"/>
                <w:color w:val="auto"/>
                <w:sz w:val="24"/>
                <w:szCs w:val="24"/>
                <w:highlight w:val="none"/>
                <w:vertAlign w:val="baseline"/>
                <w:lang w:val="en-US" w:eastAsia="zh-CN"/>
              </w:rPr>
              <w:t>）</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1.79</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1.79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4381" w:type="dxa"/>
            <w:gridSpan w:val="7"/>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取土（石）场数量（个）</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1</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4" w:hRule="atLeast"/>
        </w:trPr>
        <w:tc>
          <w:tcPr>
            <w:tcW w:w="4381" w:type="dxa"/>
            <w:gridSpan w:val="7"/>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弃土（渣）场数量（个）</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1</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07" w:hRule="atLeast"/>
        </w:trPr>
        <w:tc>
          <w:tcPr>
            <w:tcW w:w="2190" w:type="dxa"/>
            <w:gridSpan w:val="3"/>
            <w:vMerge w:val="restart"/>
            <w:vAlign w:val="center"/>
          </w:tcPr>
          <w:p>
            <w:pPr>
              <w:pStyle w:val="18"/>
              <w:ind w:left="0" w:leftChars="0" w:firstLine="0" w:firstLine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取土（石）量</w:t>
            </w:r>
          </w:p>
          <w:p>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（万m³）</w:t>
            </w:r>
          </w:p>
        </w:tc>
        <w:tc>
          <w:tcPr>
            <w:tcW w:w="2191" w:type="dxa"/>
            <w:gridSpan w:val="4"/>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合计</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5.02</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trPr>
        <w:tc>
          <w:tcPr>
            <w:tcW w:w="2190" w:type="dxa"/>
            <w:gridSpan w:val="3"/>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2191" w:type="dxa"/>
            <w:gridSpan w:val="4"/>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其他</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5.02</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190" w:type="dxa"/>
            <w:gridSpan w:val="3"/>
            <w:vMerge w:val="restart"/>
            <w:vAlign w:val="center"/>
          </w:tcPr>
          <w:p>
            <w:pPr>
              <w:pStyle w:val="18"/>
              <w:ind w:left="0" w:leftChars="0" w:firstLine="0" w:firstLine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弃土（渣）量</w:t>
            </w:r>
          </w:p>
          <w:p>
            <w:pPr>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sz w:val="24"/>
                <w:szCs w:val="24"/>
                <w:highlight w:val="none"/>
                <w:vertAlign w:val="baseline"/>
                <w:lang w:val="en-US" w:eastAsia="zh-CN"/>
              </w:rPr>
              <w:t>（万m³）</w:t>
            </w:r>
          </w:p>
        </w:tc>
        <w:tc>
          <w:tcPr>
            <w:tcW w:w="2191" w:type="dxa"/>
            <w:gridSpan w:val="4"/>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合计</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5.02</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190" w:type="dxa"/>
            <w:gridSpan w:val="3"/>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2191" w:type="dxa"/>
            <w:gridSpan w:val="4"/>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其他</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5.02</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restart"/>
            <w:vAlign w:val="center"/>
          </w:tcPr>
          <w:p>
            <w:pPr>
              <w:pStyle w:val="18"/>
              <w:ind w:left="0" w:leftChars="0" w:firstLine="0" w:firstLineChars="0"/>
              <w:jc w:val="center"/>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lang w:val="en-US" w:eastAsia="zh-CN"/>
              </w:rPr>
              <w:t>水土保持工程进度</w:t>
            </w:r>
          </w:p>
        </w:tc>
        <w:tc>
          <w:tcPr>
            <w:tcW w:w="1095" w:type="dxa"/>
            <w:gridSpan w:val="2"/>
            <w:vMerge w:val="restart"/>
            <w:vAlign w:val="center"/>
          </w:tcPr>
          <w:p>
            <w:pPr>
              <w:pStyle w:val="18"/>
              <w:ind w:left="0" w:leftChars="0" w:firstLine="0" w:firstLineChars="0"/>
              <w:jc w:val="center"/>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lang w:val="en-US" w:eastAsia="zh-CN"/>
              </w:rPr>
              <w:t>工程措施</w:t>
            </w: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表土剥离</w:t>
            </w:r>
          </w:p>
        </w:tc>
        <w:tc>
          <w:tcPr>
            <w:tcW w:w="736"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m³</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16572</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16572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挡渣墙</w:t>
            </w:r>
          </w:p>
        </w:tc>
        <w:tc>
          <w:tcPr>
            <w:tcW w:w="736"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m</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92</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截水沟</w:t>
            </w:r>
          </w:p>
        </w:tc>
        <w:tc>
          <w:tcPr>
            <w:tcW w:w="736"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m</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585</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585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排水沟</w:t>
            </w:r>
          </w:p>
        </w:tc>
        <w:tc>
          <w:tcPr>
            <w:tcW w:w="736"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m</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229</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沉砂池</w:t>
            </w:r>
          </w:p>
        </w:tc>
        <w:tc>
          <w:tcPr>
            <w:tcW w:w="736"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个</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土地平整</w:t>
            </w:r>
          </w:p>
        </w:tc>
        <w:tc>
          <w:tcPr>
            <w:tcW w:w="736"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eastAsia="仿宋_GB2312" w:cs="Times New Roman"/>
                <w:bCs/>
                <w:color w:val="auto"/>
                <w:sz w:val="24"/>
                <w:szCs w:val="24"/>
                <w:highlight w:val="none"/>
                <w:lang w:val="en-US" w:eastAsia="zh-CN" w:bidi="ar-SA"/>
              </w:rPr>
              <w:t>hm</w:t>
            </w:r>
            <w:r>
              <w:rPr>
                <w:rFonts w:hint="default" w:ascii="Times New Roman" w:hAnsi="Times New Roman" w:eastAsia="仿宋_GB2312" w:cs="Times New Roman"/>
                <w:bCs/>
                <w:color w:val="auto"/>
                <w:sz w:val="24"/>
                <w:szCs w:val="24"/>
                <w:highlight w:val="none"/>
                <w:vertAlign w:val="superscript"/>
                <w:lang w:val="en-US" w:eastAsia="zh-CN" w:bidi="ar-SA"/>
              </w:rPr>
              <w:t>2</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3.29</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3.29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restart"/>
            <w:vAlign w:val="center"/>
          </w:tcPr>
          <w:p>
            <w:pPr>
              <w:pStyle w:val="18"/>
              <w:ind w:left="0" w:leftChars="0" w:firstLine="0" w:firstLineChars="0"/>
              <w:jc w:val="center"/>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lang w:val="en-US" w:eastAsia="zh-CN"/>
              </w:rPr>
              <w:t>植物措施</w:t>
            </w: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铺草皮</w:t>
            </w:r>
          </w:p>
        </w:tc>
        <w:tc>
          <w:tcPr>
            <w:tcW w:w="736" w:type="dxa"/>
            <w:gridSpan w:val="2"/>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8008</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8008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植树</w:t>
            </w:r>
          </w:p>
        </w:tc>
        <w:tc>
          <w:tcPr>
            <w:tcW w:w="736" w:type="dxa"/>
            <w:gridSpan w:val="2"/>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株</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16740</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16740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撒播草籽</w:t>
            </w:r>
          </w:p>
        </w:tc>
        <w:tc>
          <w:tcPr>
            <w:tcW w:w="736" w:type="dxa"/>
            <w:gridSpan w:val="2"/>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Kg</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66.35</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66.35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香樟</w:t>
            </w:r>
          </w:p>
        </w:tc>
        <w:tc>
          <w:tcPr>
            <w:tcW w:w="736" w:type="dxa"/>
            <w:gridSpan w:val="2"/>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株</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659</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659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杜英</w:t>
            </w:r>
          </w:p>
        </w:tc>
        <w:tc>
          <w:tcPr>
            <w:tcW w:w="736" w:type="dxa"/>
            <w:gridSpan w:val="2"/>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株</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1342</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1342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红继木</w:t>
            </w:r>
          </w:p>
        </w:tc>
        <w:tc>
          <w:tcPr>
            <w:tcW w:w="736" w:type="dxa"/>
            <w:gridSpan w:val="2"/>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株</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6214</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6214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restart"/>
            <w:vAlign w:val="center"/>
          </w:tcPr>
          <w:p>
            <w:pPr>
              <w:pStyle w:val="18"/>
              <w:ind w:left="0" w:leftChars="0" w:firstLine="0" w:firstLineChars="0"/>
              <w:jc w:val="center"/>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lang w:val="en-US" w:eastAsia="zh-CN"/>
              </w:rPr>
              <w:t>临时措施</w:t>
            </w: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临时挡土坎</w:t>
            </w:r>
          </w:p>
        </w:tc>
        <w:tc>
          <w:tcPr>
            <w:tcW w:w="736" w:type="dxa"/>
            <w:gridSpan w:val="2"/>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m</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3860</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3860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lang w:val="en-US" w:eastAsia="zh-CN"/>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挡土板</w:t>
            </w:r>
          </w:p>
        </w:tc>
        <w:tc>
          <w:tcPr>
            <w:tcW w:w="736" w:type="dxa"/>
            <w:gridSpan w:val="2"/>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块</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88</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lang w:val="en-US" w:eastAsia="zh-CN"/>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临时排水沟</w:t>
            </w:r>
          </w:p>
        </w:tc>
        <w:tc>
          <w:tcPr>
            <w:tcW w:w="736" w:type="dxa"/>
            <w:gridSpan w:val="2"/>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m</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3054</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3054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lang w:val="en-US" w:eastAsia="zh-CN"/>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挖沉砂池</w:t>
            </w:r>
          </w:p>
        </w:tc>
        <w:tc>
          <w:tcPr>
            <w:tcW w:w="736" w:type="dxa"/>
            <w:gridSpan w:val="2"/>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个</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22</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22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lang w:val="en-US" w:eastAsia="zh-CN"/>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防尘网</w:t>
            </w:r>
          </w:p>
        </w:tc>
        <w:tc>
          <w:tcPr>
            <w:tcW w:w="736" w:type="dxa"/>
            <w:gridSpan w:val="2"/>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4980</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4980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1095" w:type="dxa"/>
            <w:gridSpan w:val="2"/>
            <w:vMerge w:val="continue"/>
            <w:vAlign w:val="center"/>
          </w:tcPr>
          <w:p>
            <w:pPr>
              <w:pStyle w:val="18"/>
              <w:ind w:left="0" w:leftChars="0" w:firstLine="0" w:firstLineChars="0"/>
              <w:jc w:val="center"/>
              <w:rPr>
                <w:rFonts w:hint="default" w:ascii="Times New Roman" w:hAnsi="Times New Roman" w:cs="Times New Roman"/>
                <w:color w:val="auto"/>
                <w:highlight w:val="none"/>
                <w:lang w:val="en-US" w:eastAsia="zh-CN"/>
              </w:rPr>
            </w:pPr>
          </w:p>
        </w:tc>
        <w:tc>
          <w:tcPr>
            <w:tcW w:w="1455"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铺撒碎石子</w:t>
            </w:r>
          </w:p>
        </w:tc>
        <w:tc>
          <w:tcPr>
            <w:tcW w:w="736" w:type="dxa"/>
            <w:gridSpan w:val="2"/>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m³</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211</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0</w:t>
            </w:r>
          </w:p>
        </w:tc>
        <w:tc>
          <w:tcPr>
            <w:tcW w:w="1381" w:type="dxa"/>
            <w:vAlign w:val="center"/>
          </w:tcPr>
          <w:p>
            <w:pPr>
              <w:pStyle w:val="18"/>
              <w:ind w:left="0" w:leftChars="0" w:firstLine="0" w:firstLineChars="0"/>
              <w:jc w:val="center"/>
              <w:rPr>
                <w:rFonts w:hint="default" w:ascii="Times New Roman" w:hAnsi="Times New Roman" w:eastAsia="仿宋" w:cs="Times New Roman"/>
                <w:color w:val="auto"/>
                <w:kern w:val="2"/>
                <w:sz w:val="24"/>
                <w:szCs w:val="24"/>
                <w:highlight w:val="none"/>
                <w:vertAlign w:val="baseline"/>
                <w:lang w:val="en-US" w:eastAsia="zh-CN" w:bidi="zh-CN"/>
              </w:rPr>
            </w:pPr>
            <w:r>
              <w:rPr>
                <w:rFonts w:hint="default" w:ascii="Times New Roman" w:hAnsi="Times New Roman" w:cs="Times New Roman"/>
                <w:color w:val="auto"/>
                <w:sz w:val="24"/>
                <w:szCs w:val="24"/>
                <w:highlight w:val="none"/>
                <w:vertAlign w:val="baseline"/>
                <w:lang w:val="en-US" w:eastAsia="zh-CN"/>
              </w:rPr>
              <w:t>211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restart"/>
            <w:vAlign w:val="center"/>
          </w:tcPr>
          <w:p>
            <w:pPr>
              <w:pStyle w:val="18"/>
              <w:ind w:left="0" w:leftChars="0" w:firstLine="0" w:firstLineChars="0"/>
              <w:jc w:val="center"/>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lang w:val="en-US" w:eastAsia="zh-CN"/>
              </w:rPr>
              <w:t>水土流失影响因子</w:t>
            </w:r>
          </w:p>
        </w:tc>
        <w:tc>
          <w:tcPr>
            <w:tcW w:w="3286" w:type="dxa"/>
            <w:gridSpan w:val="6"/>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降雨量（mm）（按年度统计）</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w:t>
            </w: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243.5</w:t>
            </w:r>
          </w:p>
        </w:tc>
        <w:tc>
          <w:tcPr>
            <w:tcW w:w="1381"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243.5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3286" w:type="dxa"/>
            <w:gridSpan w:val="6"/>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最大24小时降雨（mm）</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19.5</w:t>
            </w:r>
          </w:p>
        </w:tc>
        <w:tc>
          <w:tcPr>
            <w:tcW w:w="1381"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1095" w:type="dxa"/>
            <w:vMerge w:val="continue"/>
            <w:vAlign w:val="center"/>
          </w:tcPr>
          <w:p>
            <w:pPr>
              <w:pStyle w:val="18"/>
              <w:ind w:left="0" w:leftChars="0" w:firstLine="0" w:firstLineChars="0"/>
              <w:jc w:val="center"/>
              <w:rPr>
                <w:rFonts w:hint="default" w:ascii="Times New Roman" w:hAnsi="Times New Roman" w:cs="Times New Roman"/>
                <w:color w:val="auto"/>
                <w:highlight w:val="none"/>
              </w:rPr>
            </w:pPr>
          </w:p>
        </w:tc>
        <w:tc>
          <w:tcPr>
            <w:tcW w:w="3286" w:type="dxa"/>
            <w:gridSpan w:val="6"/>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最大风速（m/s）</w:t>
            </w:r>
          </w:p>
        </w:tc>
        <w:tc>
          <w:tcPr>
            <w:tcW w:w="1380"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p>
        </w:tc>
        <w:tc>
          <w:tcPr>
            <w:tcW w:w="1380" w:type="dxa"/>
            <w:gridSpan w:val="2"/>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2.7</w:t>
            </w:r>
          </w:p>
        </w:tc>
        <w:tc>
          <w:tcPr>
            <w:tcW w:w="1381" w:type="dxa"/>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81" w:type="dxa"/>
            <w:gridSpan w:val="7"/>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水土流失量（t）</w:t>
            </w:r>
          </w:p>
        </w:tc>
        <w:tc>
          <w:tcPr>
            <w:tcW w:w="4141" w:type="dxa"/>
            <w:gridSpan w:val="4"/>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221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81" w:type="dxa"/>
            <w:gridSpan w:val="7"/>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水土流失灾害事件</w:t>
            </w:r>
          </w:p>
        </w:tc>
        <w:tc>
          <w:tcPr>
            <w:tcW w:w="4141" w:type="dxa"/>
            <w:gridSpan w:val="4"/>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4381" w:type="dxa"/>
            <w:gridSpan w:val="7"/>
            <w:vAlign w:val="center"/>
          </w:tcPr>
          <w:p>
            <w:pPr>
              <w:pStyle w:val="18"/>
              <w:ind w:left="0" w:leftChars="0" w:firstLine="0" w:firstLineChars="0"/>
              <w:jc w:val="center"/>
              <w:rPr>
                <w:rFonts w:hint="default" w:ascii="Times New Roman" w:hAnsi="Times New Roman" w:eastAsia="仿宋_GB2312" w:cs="Times New Roman"/>
                <w:bCs/>
                <w:color w:val="auto"/>
                <w:sz w:val="24"/>
                <w:szCs w:val="24"/>
                <w:highlight w:val="none"/>
                <w:lang w:val="en-US" w:eastAsia="zh-CN" w:bidi="ar-SA"/>
              </w:rPr>
            </w:pPr>
            <w:r>
              <w:rPr>
                <w:rFonts w:hint="default" w:ascii="Times New Roman" w:hAnsi="Times New Roman" w:eastAsia="仿宋_GB2312" w:cs="Times New Roman"/>
                <w:bCs/>
                <w:color w:val="auto"/>
                <w:sz w:val="24"/>
                <w:szCs w:val="24"/>
                <w:highlight w:val="none"/>
                <w:lang w:val="en-US" w:eastAsia="zh-CN" w:bidi="ar-SA"/>
              </w:rPr>
              <w:t>水土保持监测三色表评价</w:t>
            </w:r>
          </w:p>
        </w:tc>
        <w:tc>
          <w:tcPr>
            <w:tcW w:w="4141" w:type="dxa"/>
            <w:gridSpan w:val="4"/>
            <w:vAlign w:val="center"/>
          </w:tcPr>
          <w:p>
            <w:pPr>
              <w:pStyle w:val="18"/>
              <w:ind w:left="0" w:leftChars="0" w:firstLine="0" w:firstLineChars="0"/>
              <w:jc w:val="center"/>
              <w:rPr>
                <w:rFonts w:hint="default" w:ascii="Times New Roman" w:hAnsi="Times New Roman"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绿色（86分）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190" w:type="dxa"/>
            <w:gridSpan w:val="3"/>
            <w:vAlign w:val="center"/>
          </w:tcPr>
          <w:p>
            <w:pPr>
              <w:pStyle w:val="18"/>
              <w:ind w:left="0" w:leftChars="0" w:firstLine="0" w:firstLine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监测开展工作情况</w:t>
            </w:r>
          </w:p>
        </w:tc>
        <w:tc>
          <w:tcPr>
            <w:tcW w:w="6332" w:type="dxa"/>
            <w:gridSpan w:val="8"/>
            <w:vAlign w:val="center"/>
          </w:tcPr>
          <w:p>
            <w:pPr>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（1）协助建设单位向各级水行政主管部门报送2021年第4季度监测季报；</w:t>
            </w:r>
          </w:p>
          <w:p>
            <w:pPr>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（2）向流域机构（水行政主管部门）汇报本工程水土保持监测工作开展情况；</w:t>
            </w:r>
          </w:p>
          <w:p>
            <w:pPr>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（3）对项目各分区采用调查法及结合施工方、监理方资料分析水土流失现状；</w:t>
            </w:r>
          </w:p>
          <w:p>
            <w:pPr>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（4）根据水土保持方案批复的水土流失防治分区，监测人员对项目现场各分区进行航拍；</w:t>
            </w:r>
          </w:p>
          <w:p>
            <w:pPr>
              <w:bidi w:val="0"/>
              <w:rPr>
                <w:rFonts w:hint="default" w:ascii="Times New Roman" w:hAnsi="Times New Roman" w:cs="Times New Roman"/>
                <w:color w:val="auto"/>
                <w:szCs w:val="24"/>
                <w:highlight w:val="none"/>
                <w:vertAlign w:val="baseline"/>
                <w:lang w:val="en-US" w:eastAsia="zh-CN"/>
              </w:rPr>
            </w:pPr>
            <w:r>
              <w:rPr>
                <w:rFonts w:hint="default" w:ascii="Times New Roman" w:hAnsi="Times New Roman" w:cs="Times New Roman"/>
                <w:color w:val="auto"/>
                <w:highlight w:val="none"/>
                <w:lang w:val="en-US" w:eastAsia="zh-CN"/>
              </w:rPr>
              <w:t>（5）根据本季度工程现场情况综合评价，本季度工程水土保持监测三色评价结论为绿色。</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trPr>
        <w:tc>
          <w:tcPr>
            <w:tcW w:w="2190" w:type="dxa"/>
            <w:gridSpan w:val="3"/>
            <w:vAlign w:val="center"/>
          </w:tcPr>
          <w:p>
            <w:pPr>
              <w:pStyle w:val="18"/>
              <w:ind w:left="0" w:leftChars="0" w:firstLine="0" w:firstLineChars="0"/>
              <w:jc w:val="cente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存在问题与建议</w:t>
            </w:r>
          </w:p>
        </w:tc>
        <w:tc>
          <w:tcPr>
            <w:tcW w:w="6332" w:type="dxa"/>
            <w:gridSpan w:val="8"/>
            <w:vAlign w:val="center"/>
          </w:tcPr>
          <w:p>
            <w:pPr>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（1）现场的工程措施及植物措施按照相关设计要求基本落实到位；但沉砂池及排水沟未及时清淤，会导致项目区内部有内涝风险。</w:t>
            </w:r>
          </w:p>
          <w:p>
            <w:pPr>
              <w:bidi w:val="0"/>
              <w:rPr>
                <w:rFonts w:hint="default" w:ascii="Times New Roman" w:hAnsi="Times New Roman" w:cs="Times New Roman"/>
                <w:color w:val="auto"/>
                <w:szCs w:val="24"/>
                <w:highlight w:val="none"/>
                <w:vertAlign w:val="baseline"/>
                <w:lang w:val="en-US" w:eastAsia="zh-CN"/>
              </w:rPr>
            </w:pPr>
            <w:r>
              <w:rPr>
                <w:rFonts w:hint="default" w:ascii="Times New Roman" w:hAnsi="Times New Roman" w:cs="Times New Roman"/>
                <w:color w:val="auto"/>
                <w:highlight w:val="none"/>
                <w:lang w:val="en-US" w:eastAsia="zh-CN"/>
              </w:rPr>
              <w:t>（2）建议对部分排水沟及沉沙池进行清淤疏通，对部分植物草皮进行补种，建议加强植被养护力度，提高植被保存率。</w:t>
            </w:r>
          </w:p>
        </w:tc>
      </w:tr>
    </w:tbl>
    <w:p>
      <w:pPr>
        <w:pStyle w:val="18"/>
        <w:rPr>
          <w:rFonts w:hint="default" w:ascii="Times New Roman" w:hAnsi="Times New Roman" w:cs="Times New Roman"/>
          <w:color w:val="auto"/>
          <w:highlight w:val="none"/>
          <w:lang w:val="en-US" w:eastAsia="zh-CN"/>
        </w:rPr>
      </w:pPr>
    </w:p>
    <w:bookmarkEnd w:id="98"/>
    <w:p>
      <w:pPr>
        <w:pStyle w:val="18"/>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pStyle w:val="18"/>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pStyle w:val="18"/>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pStyle w:val="18"/>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pStyle w:val="18"/>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pStyle w:val="18"/>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pStyle w:val="18"/>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pStyle w:val="2"/>
        <w:keepNext/>
        <w:keepLines/>
        <w:pageBreakBefore w:val="0"/>
        <w:widowControl w:val="0"/>
        <w:numPr>
          <w:ilvl w:val="0"/>
          <w:numId w:val="0"/>
        </w:numPr>
        <w:kinsoku/>
        <w:wordWrap/>
        <w:overflowPunct/>
        <w:topLinePunct w:val="0"/>
        <w:autoSpaceDE/>
        <w:autoSpaceDN/>
        <w:bidi w:val="0"/>
        <w:adjustRightInd/>
        <w:snapToGrid/>
        <w:spacing w:before="0" w:after="0" w:line="240" w:lineRule="auto"/>
        <w:textAlignment w:val="auto"/>
        <w:rPr>
          <w:rFonts w:hint="default" w:ascii="Times New Roman" w:hAnsi="Times New Roman" w:cs="Times New Roman"/>
          <w:color w:val="auto"/>
          <w:sz w:val="32"/>
          <w:szCs w:val="22"/>
          <w:highlight w:val="none"/>
          <w:lang w:val="en-US" w:eastAsia="zh-CN"/>
        </w:rPr>
      </w:pPr>
      <w:bookmarkStart w:id="100" w:name="_Toc11119"/>
      <w:bookmarkStart w:id="101" w:name="_Toc12791"/>
      <w:bookmarkStart w:id="102" w:name="_Toc3111"/>
      <w:bookmarkStart w:id="103" w:name="_Toc7969"/>
      <w:bookmarkStart w:id="104" w:name="_Toc21760"/>
      <w:bookmarkStart w:id="105" w:name="_Toc24664"/>
      <w:bookmarkStart w:id="106" w:name="_Toc23780"/>
      <w:bookmarkStart w:id="107" w:name="_Toc26381"/>
      <w:r>
        <w:rPr>
          <w:rFonts w:hint="default" w:ascii="Times New Roman" w:hAnsi="Times New Roman" w:cs="Times New Roman"/>
          <w:color w:val="auto"/>
          <w:highlight w:val="none"/>
          <w:lang w:val="en-US" w:eastAsia="zh-CN"/>
        </w:rPr>
        <w:t>2 监测三色评价表</w:t>
      </w:r>
      <w:bookmarkEnd w:id="100"/>
      <w:bookmarkEnd w:id="101"/>
    </w:p>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生产建设项目水土保持监测三色评价指标及赋分表</w:t>
      </w:r>
    </w:p>
    <w:tbl>
      <w:tblPr>
        <w:tblStyle w:val="20"/>
        <w:tblW w:w="4999"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53"/>
        <w:gridCol w:w="1876"/>
        <w:gridCol w:w="845"/>
        <w:gridCol w:w="893"/>
        <w:gridCol w:w="447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项目名称</w:t>
            </w:r>
          </w:p>
        </w:tc>
        <w:tc>
          <w:tcPr>
            <w:tcW w:w="3360" w:type="pct"/>
            <w:gridSpan w:val="3"/>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衡阳市华天路新建项目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监测时段和防治责任范围</w:t>
            </w:r>
          </w:p>
        </w:tc>
        <w:tc>
          <w:tcPr>
            <w:tcW w:w="3360" w:type="pct"/>
            <w:gridSpan w:val="3"/>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2020年第四季度，8.51公顷。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三色评价结论</w:t>
            </w:r>
          </w:p>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（勾选）</w:t>
            </w:r>
          </w:p>
        </w:tc>
        <w:tc>
          <w:tcPr>
            <w:tcW w:w="3360" w:type="pct"/>
            <w:gridSpan w:val="3"/>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绿色</w:t>
            </w:r>
            <w:r>
              <w:rPr>
                <w:rFonts w:hint="default" w:ascii="Times New Roman" w:hAnsi="Times New Roman" w:eastAsia="仿宋_GB2312" w:cs="Times New Roman"/>
                <w:color w:val="auto"/>
                <w:sz w:val="24"/>
                <w:szCs w:val="24"/>
                <w:highlight w:val="none"/>
              </w:rPr>
              <w:sym w:font="Wingdings" w:char="00FE"/>
            </w:r>
            <w:r>
              <w:rPr>
                <w:rFonts w:hint="default" w:ascii="Times New Roman" w:hAnsi="Times New Roman" w:eastAsia="仿宋_GB2312" w:cs="Times New Roman"/>
                <w:color w:val="auto"/>
                <w:sz w:val="24"/>
                <w:szCs w:val="24"/>
                <w:highlight w:val="none"/>
                <w:lang w:val="en-US" w:eastAsia="zh-CN"/>
              </w:rPr>
              <w:t xml:space="preserve">     黄色 </w:t>
            </w:r>
            <w:r>
              <w:rPr>
                <w:rFonts w:hint="default" w:ascii="Times New Roman" w:hAnsi="Times New Roman" w:eastAsia="仿宋_GB2312" w:cs="Times New Roman"/>
                <w:color w:val="auto"/>
                <w:sz w:val="24"/>
                <w:szCs w:val="24"/>
                <w:highlight w:val="none"/>
              </w:rPr>
              <w:sym w:font="Wingdings" w:char="00A8"/>
            </w:r>
            <w:r>
              <w:rPr>
                <w:rFonts w:hint="default" w:ascii="Times New Roman" w:hAnsi="Times New Roman" w:eastAsia="仿宋_GB2312" w:cs="Times New Roman"/>
                <w:color w:val="auto"/>
                <w:sz w:val="24"/>
                <w:szCs w:val="24"/>
                <w:highlight w:val="none"/>
                <w:lang w:val="en-US" w:eastAsia="zh-CN"/>
              </w:rPr>
              <w:t xml:space="preserve">     红色</w:t>
            </w:r>
            <w:r>
              <w:rPr>
                <w:rFonts w:hint="default" w:ascii="Times New Roman" w:hAnsi="Times New Roman" w:eastAsia="仿宋_GB2312" w:cs="Times New Roman"/>
                <w:color w:val="auto"/>
                <w:sz w:val="24"/>
                <w:szCs w:val="24"/>
                <w:highlight w:val="none"/>
              </w:rPr>
              <w:sym w:font="Wingdings" w:char="00A8"/>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评价指标</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分值</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得分</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赋分说明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扰动土地情况</w:t>
            </w: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扰动范围</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无范围增加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表土剥离保护</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表土剥离</w:t>
            </w:r>
            <w:r>
              <w:rPr>
                <w:rFonts w:hint="default" w:ascii="Times New Roman" w:hAnsi="Times New Roman" w:cs="Times New Roman"/>
                <w:color w:val="auto"/>
                <w:sz w:val="24"/>
                <w:szCs w:val="24"/>
                <w:highlight w:val="none"/>
                <w:vertAlign w:val="baseline"/>
                <w:lang w:val="en-US" w:eastAsia="zh-CN"/>
              </w:rPr>
              <w:t>及保护措施</w:t>
            </w:r>
            <w:r>
              <w:rPr>
                <w:rFonts w:hint="default" w:ascii="Times New Roman" w:hAnsi="Times New Roman" w:eastAsia="仿宋_GB2312" w:cs="Times New Roman"/>
                <w:color w:val="auto"/>
                <w:sz w:val="24"/>
                <w:szCs w:val="24"/>
                <w:highlight w:val="none"/>
                <w:vertAlign w:val="baseline"/>
                <w:lang w:val="en-US" w:eastAsia="zh-CN"/>
              </w:rPr>
              <w:t>已</w:t>
            </w:r>
            <w:r>
              <w:rPr>
                <w:rFonts w:hint="default" w:ascii="Times New Roman" w:hAnsi="Times New Roman" w:cs="Times New Roman"/>
                <w:color w:val="auto"/>
                <w:sz w:val="24"/>
                <w:szCs w:val="24"/>
                <w:highlight w:val="none"/>
                <w:vertAlign w:val="baseline"/>
                <w:lang w:val="en-US" w:eastAsia="zh-CN"/>
              </w:rPr>
              <w:t>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弃土（石、渣）堆放</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弃土、石、渣基本堆放在规定弃渣场内，现场无乱弃乱堆现象。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水土流失状况</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13</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因项目区排水设施清淤工作不及时，因此扣</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restar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水土流失防治成效</w:t>
            </w: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20</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16</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工程措施清淤工作不及时，拦挡措施有损坏，扣4分。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w:t>
            </w:r>
            <w:r>
              <w:rPr>
                <w:rFonts w:hint="default" w:ascii="Times New Roman" w:hAnsi="Times New Roman" w:cs="Times New Roman"/>
                <w:color w:val="auto"/>
                <w:sz w:val="24"/>
                <w:szCs w:val="24"/>
                <w:highlight w:val="none"/>
                <w:vertAlign w:val="baseline"/>
                <w:lang w:val="en-US" w:eastAsia="zh-CN"/>
              </w:rPr>
              <w:t>1</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植物措施</w:t>
            </w:r>
            <w:r>
              <w:rPr>
                <w:rFonts w:hint="default" w:ascii="Times New Roman" w:hAnsi="Times New Roman" w:cs="Times New Roman"/>
                <w:color w:val="auto"/>
                <w:sz w:val="24"/>
                <w:szCs w:val="24"/>
                <w:highlight w:val="none"/>
                <w:vertAlign w:val="baseline"/>
                <w:lang w:val="en-US" w:eastAsia="zh-CN"/>
              </w:rPr>
              <w:t>已落实</w:t>
            </w:r>
            <w:r>
              <w:rPr>
                <w:rFonts w:hint="default" w:ascii="Times New Roman" w:hAnsi="Times New Roman" w:eastAsia="仿宋_GB2312" w:cs="Times New Roman"/>
                <w:color w:val="auto"/>
                <w:sz w:val="24"/>
                <w:szCs w:val="24"/>
                <w:highlight w:val="none"/>
                <w:vertAlign w:val="baseline"/>
                <w:lang w:val="en-US" w:eastAsia="zh-CN"/>
              </w:rPr>
              <w:t>，</w:t>
            </w:r>
            <w:r>
              <w:rPr>
                <w:rFonts w:hint="default" w:ascii="Times New Roman" w:hAnsi="Times New Roman" w:cs="Times New Roman"/>
                <w:color w:val="auto"/>
                <w:sz w:val="24"/>
                <w:szCs w:val="24"/>
                <w:highlight w:val="none"/>
                <w:vertAlign w:val="baseline"/>
                <w:lang w:val="en-US" w:eastAsia="zh-CN"/>
              </w:rPr>
              <w:t>覆盖率不达标面积1100m</w:t>
            </w:r>
            <w:r>
              <w:rPr>
                <w:rFonts w:hint="default" w:ascii="Times New Roman" w:hAnsi="Times New Roman" w:cs="Times New Roman"/>
                <w:color w:val="auto"/>
                <w:sz w:val="24"/>
                <w:szCs w:val="24"/>
                <w:highlight w:val="none"/>
                <w:vertAlign w:val="superscript"/>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因此扣4分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624" w:type="pct"/>
            <w:vMerge w:val="continue"/>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c>
          <w:tcPr>
            <w:tcW w:w="1015"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临时措施</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6</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临时防护措施落实不及时，不到位，有</w:t>
            </w:r>
            <w:r>
              <w:rPr>
                <w:rFonts w:hint="default" w:ascii="Times New Roman" w:hAnsi="Times New Roman" w:cs="Times New Roman"/>
                <w:color w:val="auto"/>
                <w:sz w:val="24"/>
                <w:szCs w:val="24"/>
                <w:highlight w:val="none"/>
                <w:vertAlign w:val="baseline"/>
                <w:lang w:val="en-US" w:eastAsia="zh-CN"/>
              </w:rPr>
              <w:t>2</w:t>
            </w:r>
            <w:r>
              <w:rPr>
                <w:rFonts w:hint="default" w:ascii="Times New Roman" w:hAnsi="Times New Roman" w:eastAsia="仿宋_GB2312" w:cs="Times New Roman"/>
                <w:color w:val="auto"/>
                <w:sz w:val="24"/>
                <w:szCs w:val="24"/>
                <w:highlight w:val="none"/>
                <w:vertAlign w:val="baseline"/>
                <w:lang w:val="en-US" w:eastAsia="zh-CN"/>
              </w:rPr>
              <w:t>处，因此扣</w:t>
            </w:r>
            <w:r>
              <w:rPr>
                <w:rFonts w:hint="default" w:ascii="Times New Roman" w:hAnsi="Times New Roman" w:cs="Times New Roman"/>
                <w:color w:val="auto"/>
                <w:sz w:val="24"/>
                <w:szCs w:val="24"/>
                <w:highlight w:val="none"/>
                <w:vertAlign w:val="baseline"/>
                <w:lang w:val="en-US" w:eastAsia="zh-CN"/>
              </w:rPr>
              <w:t>4</w:t>
            </w:r>
            <w:r>
              <w:rPr>
                <w:rFonts w:hint="default" w:ascii="Times New Roman" w:hAnsi="Times New Roman" w:eastAsia="仿宋_GB2312" w:cs="Times New Roman"/>
                <w:color w:val="auto"/>
                <w:sz w:val="24"/>
                <w:szCs w:val="24"/>
                <w:highlight w:val="none"/>
                <w:vertAlign w:val="baseline"/>
                <w:lang w:val="en-US" w:eastAsia="zh-CN"/>
              </w:rPr>
              <w:t>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水土流失危害</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5</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cs="Times New Roman"/>
                <w:color w:val="auto"/>
                <w:sz w:val="24"/>
                <w:szCs w:val="24"/>
                <w:highlight w:val="none"/>
                <w:vertAlign w:val="baseline"/>
                <w:lang w:val="en-US" w:eastAsia="zh-CN"/>
              </w:rPr>
              <w:t>5</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1639" w:type="pct"/>
            <w:gridSpan w:val="2"/>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合计</w:t>
            </w:r>
          </w:p>
        </w:tc>
        <w:tc>
          <w:tcPr>
            <w:tcW w:w="457"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100</w:t>
            </w:r>
          </w:p>
        </w:tc>
        <w:tc>
          <w:tcPr>
            <w:tcW w:w="483"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r>
              <w:rPr>
                <w:rFonts w:hint="default" w:ascii="Times New Roman" w:hAnsi="Times New Roman" w:eastAsia="仿宋_GB2312" w:cs="Times New Roman"/>
                <w:color w:val="auto"/>
                <w:sz w:val="24"/>
                <w:szCs w:val="24"/>
                <w:highlight w:val="none"/>
                <w:vertAlign w:val="baseline"/>
                <w:lang w:val="en-US" w:eastAsia="zh-CN"/>
              </w:rPr>
              <w:t>8</w:t>
            </w:r>
            <w:r>
              <w:rPr>
                <w:rFonts w:hint="default" w:ascii="Times New Roman" w:hAnsi="Times New Roman" w:cs="Times New Roman"/>
                <w:color w:val="auto"/>
                <w:sz w:val="24"/>
                <w:szCs w:val="24"/>
                <w:highlight w:val="none"/>
                <w:vertAlign w:val="baseline"/>
                <w:lang w:val="en-US" w:eastAsia="zh-CN"/>
              </w:rPr>
              <w:t>6</w:t>
            </w:r>
          </w:p>
        </w:tc>
        <w:tc>
          <w:tcPr>
            <w:tcW w:w="2419" w:type="pct"/>
            <w:vAlign w:val="center"/>
          </w:tcPr>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center"/>
              <w:textAlignment w:val="auto"/>
              <w:outlineLvl w:val="9"/>
              <w:rPr>
                <w:rFonts w:hint="default" w:ascii="Times New Roman" w:hAnsi="Times New Roman" w:eastAsia="仿宋_GB2312" w:cs="Times New Roman"/>
                <w:color w:val="auto"/>
                <w:sz w:val="24"/>
                <w:szCs w:val="24"/>
                <w:highlight w:val="none"/>
                <w:vertAlign w:val="baseline"/>
                <w:lang w:val="en-US" w:eastAsia="zh-CN"/>
              </w:rPr>
            </w:pPr>
          </w:p>
        </w:tc>
      </w:tr>
    </w:tbl>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jc w:val="left"/>
        <w:textAlignment w:val="auto"/>
        <w:outlineLvl w:val="9"/>
        <w:rPr>
          <w:rFonts w:hint="default" w:ascii="Times New Roman" w:hAnsi="Times New Roman" w:eastAsia="仿宋_GB2312" w:cs="Times New Roman"/>
          <w:b/>
          <w:bCs/>
          <w:color w:val="auto"/>
          <w:sz w:val="18"/>
          <w:szCs w:val="18"/>
          <w:highlight w:val="none"/>
          <w:lang w:val="en-US" w:eastAsia="zh-CN"/>
        </w:rPr>
      </w:pPr>
      <w:r>
        <w:rPr>
          <w:rFonts w:hint="default" w:ascii="Times New Roman" w:hAnsi="Times New Roman" w:eastAsia="仿宋_GB2312" w:cs="Times New Roman"/>
          <w:b/>
          <w:bCs/>
          <w:color w:val="auto"/>
          <w:sz w:val="18"/>
          <w:szCs w:val="18"/>
          <w:highlight w:val="none"/>
          <w:lang w:val="en-US" w:eastAsia="zh-CN"/>
        </w:rPr>
        <w:t>备注：1、监测季报三色评价得分为各项评价指标得分之和，满分为100分。</w:t>
      </w:r>
    </w:p>
    <w:p>
      <w:pPr>
        <w:pStyle w:val="13"/>
        <w:keepNext w:val="0"/>
        <w:keepLines w:val="0"/>
        <w:pageBreakBefore w:val="0"/>
        <w:widowControl/>
        <w:numPr>
          <w:ilvl w:val="0"/>
          <w:numId w:val="3"/>
        </w:numPr>
        <w:kinsoku/>
        <w:wordWrap/>
        <w:overflowPunct/>
        <w:topLinePunct w:val="0"/>
        <w:autoSpaceDE/>
        <w:autoSpaceDN/>
        <w:bidi w:val="0"/>
        <w:adjustRightInd/>
        <w:snapToGrid/>
        <w:spacing w:after="0" w:afterLines="0" w:afterAutospacing="0" w:line="240" w:lineRule="auto"/>
        <w:ind w:left="540" w:leftChars="0" w:firstLine="0" w:firstLineChars="0"/>
        <w:jc w:val="left"/>
        <w:textAlignment w:val="auto"/>
        <w:outlineLvl w:val="9"/>
        <w:rPr>
          <w:rFonts w:hint="default" w:ascii="Times New Roman" w:hAnsi="Times New Roman" w:eastAsia="仿宋_GB2312" w:cs="Times New Roman"/>
          <w:b/>
          <w:bCs/>
          <w:color w:val="auto"/>
          <w:sz w:val="18"/>
          <w:szCs w:val="18"/>
          <w:highlight w:val="none"/>
          <w:lang w:val="en-US" w:eastAsia="zh-CN"/>
        </w:rPr>
      </w:pPr>
      <w:r>
        <w:rPr>
          <w:rFonts w:hint="default" w:ascii="Times New Roman" w:hAnsi="Times New Roman" w:eastAsia="仿宋_GB2312" w:cs="Times New Roman"/>
          <w:b/>
          <w:bCs/>
          <w:color w:val="auto"/>
          <w:sz w:val="18"/>
          <w:szCs w:val="18"/>
          <w:highlight w:val="none"/>
          <w:lang w:val="en-US" w:eastAsia="zh-CN"/>
        </w:rPr>
        <w:t>发生严重水土流失危害事件，或者拒不落实水行政主管部门限期整改要求的生产建设项目，实行“一票否决”，三色评价结论为红色，总得分为0。</w:t>
      </w:r>
    </w:p>
    <w:p>
      <w:pPr>
        <w:pStyle w:val="13"/>
        <w:keepNext w:val="0"/>
        <w:keepLines w:val="0"/>
        <w:pageBreakBefore w:val="0"/>
        <w:widowControl/>
        <w:numPr>
          <w:ilvl w:val="0"/>
          <w:numId w:val="0"/>
        </w:numPr>
        <w:kinsoku/>
        <w:wordWrap/>
        <w:overflowPunct/>
        <w:topLinePunct w:val="0"/>
        <w:autoSpaceDE/>
        <w:autoSpaceDN/>
        <w:bidi w:val="0"/>
        <w:adjustRightInd/>
        <w:snapToGrid/>
        <w:spacing w:after="0" w:afterLines="0" w:afterAutospacing="0" w:line="240" w:lineRule="auto"/>
        <w:ind w:left="540" w:leftChars="0"/>
        <w:jc w:val="left"/>
        <w:textAlignment w:val="auto"/>
        <w:outlineLvl w:val="9"/>
        <w:rPr>
          <w:rFonts w:hint="default" w:ascii="Times New Roman" w:hAnsi="Times New Roman" w:cs="Times New Roman"/>
          <w:color w:val="auto"/>
          <w:sz w:val="18"/>
          <w:szCs w:val="18"/>
          <w:highlight w:val="none"/>
        </w:rPr>
      </w:pPr>
      <w:r>
        <w:rPr>
          <w:rFonts w:hint="default" w:ascii="Times New Roman" w:hAnsi="Times New Roman" w:eastAsia="仿宋_GB2312" w:cs="Times New Roman"/>
          <w:b/>
          <w:bCs/>
          <w:color w:val="auto"/>
          <w:sz w:val="18"/>
          <w:szCs w:val="18"/>
          <w:highlight w:val="none"/>
          <w:lang w:val="en-US" w:eastAsia="zh-CN"/>
        </w:rPr>
        <w:t>3、上述扣分规则适用超过100公顷的生产建设项目；不超过100公顷的生产建设项目各项评价指标（除“水土流失危害”）按上述扣分规则的两倍扣分。</w:t>
      </w:r>
    </w:p>
    <w:p>
      <w:pPr>
        <w:numPr>
          <w:ilvl w:val="0"/>
          <w:numId w:val="0"/>
        </w:numPr>
        <w:spacing w:line="360" w:lineRule="auto"/>
        <w:jc w:val="both"/>
        <w:outlineLvl w:val="9"/>
        <w:rPr>
          <w:rFonts w:hint="default" w:ascii="Times New Roman" w:hAnsi="Times New Roman" w:cs="Times New Roman"/>
          <w:b/>
          <w:bCs/>
          <w:color w:val="auto"/>
          <w:sz w:val="30"/>
          <w:szCs w:val="30"/>
          <w:highlight w:val="none"/>
          <w:lang w:val="en-US" w:eastAsia="zh-CN"/>
        </w:rPr>
        <w:sectPr>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bidi w:val="0"/>
        <w:rPr>
          <w:rFonts w:hint="default" w:ascii="Times New Roman" w:hAnsi="Times New Roman" w:cs="Times New Roman"/>
          <w:color w:val="auto"/>
          <w:highlight w:val="none"/>
          <w:lang w:val="en-US" w:eastAsia="zh-CN"/>
        </w:rPr>
      </w:pPr>
      <w:bookmarkStart w:id="108" w:name="_Toc8279"/>
      <w:r>
        <w:rPr>
          <w:rFonts w:hint="default" w:ascii="Times New Roman" w:hAnsi="Times New Roman" w:cs="Times New Roman"/>
          <w:color w:val="auto"/>
          <w:highlight w:val="none"/>
          <w:lang w:val="en-US" w:eastAsia="zh-CN"/>
        </w:rPr>
        <w:t>3 项目概况</w:t>
      </w:r>
      <w:bookmarkEnd w:id="102"/>
      <w:bookmarkEnd w:id="103"/>
      <w:bookmarkEnd w:id="104"/>
      <w:bookmarkEnd w:id="105"/>
      <w:bookmarkEnd w:id="106"/>
      <w:bookmarkEnd w:id="107"/>
      <w:bookmarkEnd w:id="108"/>
    </w:p>
    <w:p>
      <w:pPr>
        <w:pStyle w:val="3"/>
        <w:bidi w:val="0"/>
        <w:rPr>
          <w:rFonts w:hint="default" w:ascii="Times New Roman" w:hAnsi="Times New Roman" w:cs="Times New Roman"/>
          <w:color w:val="auto"/>
          <w:highlight w:val="none"/>
          <w:lang w:val="en-US" w:eastAsia="zh-CN"/>
        </w:rPr>
      </w:pPr>
      <w:bookmarkStart w:id="109" w:name="_Toc23548"/>
      <w:r>
        <w:rPr>
          <w:rFonts w:hint="default" w:ascii="Times New Roman" w:hAnsi="Times New Roman" w:cs="Times New Roman"/>
          <w:color w:val="auto"/>
          <w:highlight w:val="none"/>
          <w:lang w:val="en-US" w:eastAsia="zh-CN"/>
        </w:rPr>
        <w:t>3.1 项目建设概括</w:t>
      </w:r>
      <w:bookmarkEnd w:id="109"/>
    </w:p>
    <w:tbl>
      <w:tblPr>
        <w:tblStyle w:val="20"/>
        <w:tblW w:w="0" w:type="auto"/>
        <w:tblInd w:w="-40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32"/>
        <w:gridCol w:w="2828"/>
        <w:gridCol w:w="2006"/>
        <w:gridCol w:w="235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项目地点</w:t>
            </w:r>
          </w:p>
        </w:tc>
        <w:tc>
          <w:tcPr>
            <w:tcW w:w="7191" w:type="dxa"/>
            <w:gridSpan w:val="3"/>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湖南省衡阳市珠晖区华天路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Merge w:val="restart"/>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建设单位</w:t>
            </w:r>
          </w:p>
        </w:tc>
        <w:tc>
          <w:tcPr>
            <w:tcW w:w="7191" w:type="dxa"/>
            <w:gridSpan w:val="3"/>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衡阳市城市建设投资有限公司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1732" w:type="dxa"/>
            <w:vMerge w:val="continue"/>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p>
        </w:tc>
        <w:tc>
          <w:tcPr>
            <w:tcW w:w="2828" w:type="dxa"/>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联系人</w:t>
            </w:r>
            <w:r>
              <w:rPr>
                <w:rFonts w:hint="eastAsia" w:ascii="Times New Roman" w:hAnsi="Times New Roman" w:cs="Times New Roman"/>
                <w:color w:val="auto"/>
                <w:sz w:val="21"/>
                <w:szCs w:val="21"/>
                <w:highlight w:val="none"/>
                <w:vertAlign w:val="baseline"/>
                <w:lang w:val="en-US" w:eastAsia="zh-CN"/>
              </w:rPr>
              <w:t>：</w:t>
            </w:r>
          </w:p>
        </w:tc>
        <w:tc>
          <w:tcPr>
            <w:tcW w:w="2006" w:type="dxa"/>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p>
        </w:tc>
        <w:tc>
          <w:tcPr>
            <w:tcW w:w="2357" w:type="dxa"/>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Merge w:val="restart"/>
            <w:vAlign w:val="center"/>
          </w:tcPr>
          <w:p>
            <w:pPr>
              <w:numPr>
                <w:ilvl w:val="0"/>
                <w:numId w:val="0"/>
              </w:numPr>
              <w:spacing w:line="24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水保监测单位</w:t>
            </w:r>
          </w:p>
        </w:tc>
        <w:tc>
          <w:tcPr>
            <w:tcW w:w="2828" w:type="dxa"/>
            <w:vMerge w:val="restart"/>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湖南华意项目管理有限公司</w:t>
            </w:r>
          </w:p>
        </w:tc>
        <w:tc>
          <w:tcPr>
            <w:tcW w:w="2006" w:type="dxa"/>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负责人</w:t>
            </w:r>
          </w:p>
        </w:tc>
        <w:tc>
          <w:tcPr>
            <w:tcW w:w="2357" w:type="dxa"/>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Merge w:val="continue"/>
            <w:vAlign w:val="center"/>
          </w:tcPr>
          <w:p>
            <w:pPr>
              <w:numPr>
                <w:ilvl w:val="0"/>
                <w:numId w:val="0"/>
              </w:numPr>
              <w:spacing w:line="360" w:lineRule="auto"/>
              <w:jc w:val="center"/>
              <w:rPr>
                <w:rFonts w:hint="default" w:ascii="Times New Roman" w:hAnsi="Times New Roman" w:cs="Times New Roman"/>
                <w:color w:val="auto"/>
                <w:sz w:val="21"/>
                <w:szCs w:val="21"/>
                <w:highlight w:val="none"/>
                <w:vertAlign w:val="baseline"/>
                <w:lang w:val="en-US" w:eastAsia="zh-CN"/>
              </w:rPr>
            </w:pPr>
          </w:p>
        </w:tc>
        <w:tc>
          <w:tcPr>
            <w:tcW w:w="2828" w:type="dxa"/>
            <w:vMerge w:val="continue"/>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p>
        </w:tc>
        <w:tc>
          <w:tcPr>
            <w:tcW w:w="2006" w:type="dxa"/>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电话</w:t>
            </w:r>
          </w:p>
        </w:tc>
        <w:tc>
          <w:tcPr>
            <w:tcW w:w="2357" w:type="dxa"/>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Align w:val="center"/>
          </w:tcPr>
          <w:p>
            <w:pPr>
              <w:numPr>
                <w:ilvl w:val="0"/>
                <w:numId w:val="0"/>
              </w:numPr>
              <w:spacing w:line="24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水土保持方案审批时间</w:t>
            </w:r>
          </w:p>
        </w:tc>
        <w:tc>
          <w:tcPr>
            <w:tcW w:w="2828" w:type="dxa"/>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2016年10月</w:t>
            </w:r>
          </w:p>
        </w:tc>
        <w:tc>
          <w:tcPr>
            <w:tcW w:w="2006" w:type="dxa"/>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文件号</w:t>
            </w:r>
          </w:p>
        </w:tc>
        <w:tc>
          <w:tcPr>
            <w:tcW w:w="2357" w:type="dxa"/>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衡水许【2016】34号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60" w:type="dxa"/>
            <w:gridSpan w:val="2"/>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水土流失防治责任范围面积（</w:t>
            </w:r>
            <w:r>
              <w:rPr>
                <w:rFonts w:hint="default" w:ascii="Times New Roman" w:hAnsi="Times New Roman" w:eastAsia="Times New Roman" w:cs="Times New Roman"/>
                <w:color w:val="auto"/>
                <w:sz w:val="21"/>
                <w:szCs w:val="21"/>
                <w:highlight w:val="none"/>
              </w:rPr>
              <w:t>hm</w:t>
            </w:r>
            <w:r>
              <w:rPr>
                <w:rFonts w:hint="default" w:ascii="Times New Roman" w:hAnsi="Times New Roman" w:eastAsia="Times New Roman" w:cs="Times New Roman"/>
                <w:color w:val="auto"/>
                <w:position w:val="9"/>
                <w:sz w:val="21"/>
                <w:szCs w:val="21"/>
                <w:highlight w:val="none"/>
              </w:rPr>
              <w:t>2</w:t>
            </w:r>
            <w:r>
              <w:rPr>
                <w:rFonts w:hint="default" w:ascii="Times New Roman" w:hAnsi="Times New Roman" w:cs="Times New Roman"/>
                <w:color w:val="auto"/>
                <w:sz w:val="21"/>
                <w:szCs w:val="21"/>
                <w:highlight w:val="none"/>
                <w:vertAlign w:val="baseline"/>
                <w:lang w:val="en-US" w:eastAsia="zh-CN"/>
              </w:rPr>
              <w:t>）</w:t>
            </w:r>
          </w:p>
        </w:tc>
        <w:tc>
          <w:tcPr>
            <w:tcW w:w="4363" w:type="dxa"/>
            <w:gridSpan w:val="2"/>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32" w:type="dxa"/>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监测时段</w:t>
            </w:r>
          </w:p>
        </w:tc>
        <w:tc>
          <w:tcPr>
            <w:tcW w:w="7191" w:type="dxa"/>
            <w:gridSpan w:val="3"/>
            <w:vAlign w:val="center"/>
          </w:tcPr>
          <w:p>
            <w:pPr>
              <w:numPr>
                <w:ilvl w:val="0"/>
                <w:numId w:val="0"/>
              </w:numPr>
              <w:spacing w:line="360" w:lineRule="auto"/>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2021年</w:t>
            </w:r>
            <w:r>
              <w:rPr>
                <w:rFonts w:hint="default" w:ascii="Times New Roman" w:hAnsi="Times New Roman" w:eastAsia="仿宋" w:cs="Times New Roman"/>
                <w:color w:val="auto"/>
                <w:sz w:val="21"/>
                <w:szCs w:val="21"/>
                <w:highlight w:val="none"/>
                <w:vertAlign w:val="baseline"/>
                <w:lang w:val="en-US" w:eastAsia="zh-CN"/>
              </w:rPr>
              <w:t>10</w:t>
            </w:r>
            <w:r>
              <w:rPr>
                <w:rFonts w:hint="default" w:ascii="Times New Roman" w:hAnsi="Times New Roman" w:cs="Times New Roman"/>
                <w:color w:val="auto"/>
                <w:sz w:val="21"/>
                <w:szCs w:val="21"/>
                <w:highlight w:val="none"/>
                <w:vertAlign w:val="baseline"/>
                <w:lang w:val="en-US" w:eastAsia="zh-CN"/>
              </w:rPr>
              <w:t>月至2021年12月</w:t>
            </w:r>
          </w:p>
        </w:tc>
      </w:tr>
    </w:tbl>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 xml:space="preserve">本工程位于湖南省衡阳市珠晖区。衡阳位于湖南省中南部，湘江中游，衡山之南。地处东经110°32′16″～113°16′32″之间，北纬26°28′24″之间。       </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衡阳市华天路工程，为衡阳市城市次干道，橡胶沥青混凝土路面，全长885m，建设内容包括：路基土石方开挖回填、路面工程、管线工程、人行道工程、道路老路路面破除、雨水污水给水排水工程、绿化亮化等。按城市次干道Ⅰ级标准建设。</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水保保持方案批复工程总占用地8.5公顷，其中永久占地5.21公顷，临时占地3.30公顷。工程需开挖土石方总量为5.02万m³，填方总量12.74万m³，借方12.74万m³，弃方5.02万m³。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方案批复的本项目水土流失防治责任范围，共9.27公顷，其中项目建设区8.51公顷，直接影响区0.76公顷。</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本项目水土流失防治区情况如下：主体工程区、附属设施区、弃渣回填区、取土场区、施工便道区、施工生产生活区、临时堆土区7个防治分区。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水土保持方案设计措施主要工程量为：</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firstLine="480" w:firstLineChars="200"/>
        <w:jc w:val="both"/>
        <w:textAlignment w:val="auto"/>
        <w:outlineLvl w:val="1"/>
        <w:rPr>
          <w:rFonts w:hint="default" w:ascii="Times New Roman" w:hAnsi="Times New Roman" w:cs="Times New Roman"/>
          <w:color w:val="auto"/>
          <w:sz w:val="24"/>
          <w:szCs w:val="24"/>
          <w:highlight w:val="none"/>
          <w:lang w:val="en-US" w:eastAsia="zh-CN"/>
        </w:rPr>
      </w:pPr>
      <w:bookmarkStart w:id="110" w:name="_Toc31758"/>
      <w:bookmarkStart w:id="111" w:name="_Toc7307"/>
      <w:bookmarkStart w:id="112" w:name="_Toc23700"/>
      <w:bookmarkStart w:id="113" w:name="_Toc15411"/>
      <w:bookmarkStart w:id="114" w:name="_Toc19987"/>
      <w:bookmarkStart w:id="115" w:name="_Toc13402"/>
      <w:bookmarkStart w:id="116" w:name="_Toc27541"/>
      <w:r>
        <w:rPr>
          <w:rFonts w:hint="default" w:ascii="Times New Roman" w:hAnsi="Times New Roman" w:cs="Times New Roman"/>
          <w:color w:val="auto"/>
          <w:sz w:val="24"/>
          <w:szCs w:val="24"/>
          <w:highlight w:val="none"/>
          <w:lang w:val="en-US" w:eastAsia="zh-CN"/>
        </w:rPr>
        <w:t>主体工程区</w:t>
      </w:r>
      <w:bookmarkEnd w:id="110"/>
      <w:bookmarkEnd w:id="111"/>
      <w:bookmarkEnd w:id="112"/>
      <w:bookmarkEnd w:id="113"/>
      <w:bookmarkEnd w:id="114"/>
      <w:bookmarkEnd w:id="115"/>
      <w:bookmarkEnd w:id="116"/>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工程措施：表土剥离14733m³。</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植物措施：铺草皮3348㎡，植树16470株。</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临时措施：临时挡土坎2632m、挡土板85块、临时排水沟1786m、挖沉砂池15个，防尘网1316㎡。</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80" w:firstLineChars="200"/>
        <w:jc w:val="both"/>
        <w:textAlignment w:val="auto"/>
        <w:outlineLvl w:val="1"/>
        <w:rPr>
          <w:rFonts w:hint="default" w:ascii="Times New Roman" w:hAnsi="Times New Roman" w:cs="Times New Roman"/>
          <w:color w:val="auto"/>
          <w:sz w:val="24"/>
          <w:szCs w:val="24"/>
          <w:highlight w:val="none"/>
          <w:lang w:val="en-US" w:eastAsia="zh-CN"/>
        </w:rPr>
      </w:pPr>
      <w:bookmarkStart w:id="117" w:name="_Toc22430"/>
      <w:bookmarkStart w:id="118" w:name="_Toc25719"/>
      <w:bookmarkStart w:id="119" w:name="_Toc11211"/>
      <w:bookmarkStart w:id="120" w:name="_Toc15660"/>
      <w:bookmarkStart w:id="121" w:name="_Toc25769"/>
      <w:bookmarkStart w:id="122" w:name="_Toc24585"/>
      <w:bookmarkStart w:id="123" w:name="_Toc32002"/>
      <w:r>
        <w:rPr>
          <w:rFonts w:hint="default" w:ascii="Times New Roman" w:hAnsi="Times New Roman" w:cs="Times New Roman"/>
          <w:color w:val="auto"/>
          <w:sz w:val="24"/>
          <w:szCs w:val="24"/>
          <w:highlight w:val="none"/>
          <w:lang w:val="en-US" w:eastAsia="zh-CN"/>
        </w:rPr>
        <w:t>附属设施区</w:t>
      </w:r>
      <w:bookmarkEnd w:id="117"/>
      <w:bookmarkEnd w:id="118"/>
      <w:bookmarkEnd w:id="119"/>
      <w:bookmarkEnd w:id="120"/>
      <w:bookmarkEnd w:id="121"/>
      <w:bookmarkEnd w:id="122"/>
      <w:bookmarkEnd w:id="123"/>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临时措施：临时挡土坎235m、临时排水沟118m、沉砂池1个、防尘网390㎡。</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80" w:firstLineChars="200"/>
        <w:jc w:val="both"/>
        <w:textAlignment w:val="auto"/>
        <w:outlineLvl w:val="1"/>
        <w:rPr>
          <w:rFonts w:hint="default" w:ascii="Times New Roman" w:hAnsi="Times New Roman" w:cs="Times New Roman"/>
          <w:color w:val="auto"/>
          <w:sz w:val="24"/>
          <w:szCs w:val="24"/>
          <w:highlight w:val="none"/>
          <w:lang w:val="en-US" w:eastAsia="zh-CN"/>
        </w:rPr>
      </w:pPr>
      <w:bookmarkStart w:id="124" w:name="_Toc28693"/>
      <w:bookmarkStart w:id="125" w:name="_Toc20554"/>
      <w:bookmarkStart w:id="126" w:name="_Toc16870"/>
      <w:bookmarkStart w:id="127" w:name="_Toc3902"/>
      <w:bookmarkStart w:id="128" w:name="_Toc31296"/>
      <w:bookmarkStart w:id="129" w:name="_Toc4874"/>
      <w:bookmarkStart w:id="130" w:name="_Toc12939"/>
      <w:r>
        <w:rPr>
          <w:rFonts w:hint="default" w:ascii="Times New Roman" w:hAnsi="Times New Roman" w:cs="Times New Roman"/>
          <w:color w:val="auto"/>
          <w:sz w:val="24"/>
          <w:szCs w:val="24"/>
          <w:highlight w:val="none"/>
          <w:lang w:val="en-US" w:eastAsia="zh-CN"/>
        </w:rPr>
        <w:t>弃渣回填区</w:t>
      </w:r>
      <w:bookmarkEnd w:id="124"/>
      <w:bookmarkEnd w:id="125"/>
      <w:bookmarkEnd w:id="126"/>
      <w:bookmarkEnd w:id="127"/>
      <w:bookmarkEnd w:id="128"/>
      <w:bookmarkEnd w:id="129"/>
      <w:bookmarkEnd w:id="130"/>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工程措施：挡渣墙92m、截水沟137m、排水沟229m、永久浆砌石沉砂池1个、表土剥离1260m³、土地平整0.84hm2。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植物措施:铺草皮560㎡、撒播草籽5.1kg、栽植香樟128株、杜英128株、红继木680株。</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临时措施：临时挡土坎137m、临时排水土沟151m。</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80" w:firstLineChars="200"/>
        <w:jc w:val="both"/>
        <w:textAlignment w:val="auto"/>
        <w:outlineLvl w:val="1"/>
        <w:rPr>
          <w:rFonts w:hint="default" w:ascii="Times New Roman" w:hAnsi="Times New Roman" w:cs="Times New Roman"/>
          <w:color w:val="auto"/>
          <w:sz w:val="24"/>
          <w:szCs w:val="24"/>
          <w:highlight w:val="none"/>
          <w:lang w:val="en-US" w:eastAsia="zh-CN"/>
        </w:rPr>
      </w:pPr>
      <w:bookmarkStart w:id="131" w:name="_Toc10204"/>
      <w:bookmarkStart w:id="132" w:name="_Toc26944"/>
      <w:bookmarkStart w:id="133" w:name="_Toc25953"/>
      <w:bookmarkStart w:id="134" w:name="_Toc29235"/>
      <w:bookmarkStart w:id="135" w:name="_Toc15352"/>
      <w:bookmarkStart w:id="136" w:name="_Toc14401"/>
      <w:bookmarkStart w:id="137" w:name="_Toc11671"/>
      <w:r>
        <w:rPr>
          <w:rFonts w:hint="default" w:ascii="Times New Roman" w:hAnsi="Times New Roman" w:cs="Times New Roman"/>
          <w:color w:val="auto"/>
          <w:sz w:val="24"/>
          <w:szCs w:val="24"/>
          <w:highlight w:val="none"/>
          <w:lang w:val="en-US" w:eastAsia="zh-CN"/>
        </w:rPr>
        <w:t>取土场区</w:t>
      </w:r>
      <w:bookmarkEnd w:id="131"/>
      <w:bookmarkEnd w:id="132"/>
      <w:bookmarkEnd w:id="133"/>
      <w:bookmarkEnd w:id="134"/>
      <w:bookmarkEnd w:id="135"/>
      <w:bookmarkEnd w:id="136"/>
      <w:bookmarkEnd w:id="137"/>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工程措施：截排水沟448m、永久沉砂池4个、表土剥离10000m³、土地平整2hm2。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植物措施：铺草皮4000㎡、撒播草籽50kg、栽植香樟500株、杜英500株红继木4000株。</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临时措施：临时挡土坎324m、临时排水土沟356m。</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80" w:firstLineChars="200"/>
        <w:jc w:val="both"/>
        <w:textAlignment w:val="auto"/>
        <w:outlineLvl w:val="1"/>
        <w:rPr>
          <w:rFonts w:hint="default" w:ascii="Times New Roman" w:hAnsi="Times New Roman" w:cs="Times New Roman"/>
          <w:color w:val="auto"/>
          <w:sz w:val="24"/>
          <w:szCs w:val="24"/>
          <w:highlight w:val="none"/>
          <w:lang w:val="en-US" w:eastAsia="zh-CN"/>
        </w:rPr>
      </w:pPr>
      <w:bookmarkStart w:id="138" w:name="_Toc18474"/>
      <w:bookmarkStart w:id="139" w:name="_Toc6088"/>
      <w:bookmarkStart w:id="140" w:name="_Toc24055"/>
      <w:bookmarkStart w:id="141" w:name="_Toc19653"/>
      <w:bookmarkStart w:id="142" w:name="_Toc27959"/>
      <w:bookmarkStart w:id="143" w:name="_Toc16338"/>
      <w:bookmarkStart w:id="144" w:name="_Toc19780"/>
      <w:r>
        <w:rPr>
          <w:rFonts w:hint="default" w:ascii="Times New Roman" w:hAnsi="Times New Roman" w:cs="Times New Roman"/>
          <w:color w:val="auto"/>
          <w:sz w:val="24"/>
          <w:szCs w:val="24"/>
          <w:highlight w:val="none"/>
          <w:lang w:val="en-US" w:eastAsia="zh-CN"/>
        </w:rPr>
        <w:t>施工便道区</w:t>
      </w:r>
      <w:bookmarkEnd w:id="138"/>
      <w:bookmarkEnd w:id="139"/>
      <w:bookmarkEnd w:id="140"/>
      <w:bookmarkEnd w:id="141"/>
      <w:bookmarkEnd w:id="142"/>
      <w:bookmarkEnd w:id="143"/>
      <w:bookmarkEnd w:id="144"/>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工程措施：表土剥离75m³、土地平整0.05</w:t>
      </w:r>
      <w:r>
        <w:rPr>
          <w:rFonts w:hint="default" w:ascii="Times New Roman" w:hAnsi="Times New Roman" w:eastAsia="Times New Roman" w:cs="Times New Roman"/>
          <w:color w:val="auto"/>
          <w:sz w:val="21"/>
          <w:szCs w:val="21"/>
          <w:highlight w:val="none"/>
        </w:rPr>
        <w:t>hm</w:t>
      </w:r>
      <w:r>
        <w:rPr>
          <w:rFonts w:hint="default" w:ascii="Times New Roman" w:hAnsi="Times New Roman" w:eastAsia="Times New Roman" w:cs="Times New Roman"/>
          <w:color w:val="auto"/>
          <w:position w:val="9"/>
          <w:sz w:val="21"/>
          <w:szCs w:val="21"/>
          <w:highlight w:val="none"/>
        </w:rPr>
        <w:t>2</w:t>
      </w:r>
      <w:r>
        <w:rPr>
          <w:rFonts w:hint="default" w:ascii="Times New Roman" w:hAnsi="Times New Roman" w:cs="Times New Roman"/>
          <w:color w:val="auto"/>
          <w:sz w:val="24"/>
          <w:szCs w:val="24"/>
          <w:highlight w:val="none"/>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植物措施：铺草皮100㎡、撒播草籽1.25kg、栽植香樟31株、杜英31株、红继木167株。</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临时措施：临时挡土坎60m、临时排水沟100m、挡土板3块、铺撒碎20m³</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80" w:firstLineChars="200"/>
        <w:jc w:val="both"/>
        <w:textAlignment w:val="auto"/>
        <w:outlineLvl w:val="1"/>
        <w:rPr>
          <w:rFonts w:hint="default" w:ascii="Times New Roman" w:hAnsi="Times New Roman" w:cs="Times New Roman"/>
          <w:color w:val="auto"/>
          <w:sz w:val="24"/>
          <w:szCs w:val="24"/>
          <w:highlight w:val="none"/>
          <w:lang w:val="en-US" w:eastAsia="zh-CN"/>
        </w:rPr>
      </w:pPr>
      <w:bookmarkStart w:id="145" w:name="_Toc11806"/>
      <w:bookmarkStart w:id="146" w:name="_Toc25430"/>
      <w:bookmarkStart w:id="147" w:name="_Toc14069"/>
      <w:bookmarkStart w:id="148" w:name="_Toc12703"/>
      <w:bookmarkStart w:id="149" w:name="_Toc29868"/>
      <w:bookmarkStart w:id="150" w:name="_Toc28699"/>
      <w:bookmarkStart w:id="151" w:name="_Toc31035"/>
      <w:r>
        <w:rPr>
          <w:rFonts w:hint="default" w:ascii="Times New Roman" w:hAnsi="Times New Roman" w:cs="Times New Roman"/>
          <w:color w:val="auto"/>
          <w:sz w:val="24"/>
          <w:szCs w:val="24"/>
          <w:highlight w:val="none"/>
          <w:lang w:val="en-US" w:eastAsia="zh-CN"/>
        </w:rPr>
        <w:t>施工生产生活区</w:t>
      </w:r>
      <w:bookmarkEnd w:id="145"/>
      <w:bookmarkEnd w:id="146"/>
      <w:bookmarkEnd w:id="147"/>
      <w:bookmarkEnd w:id="148"/>
      <w:bookmarkEnd w:id="149"/>
      <w:bookmarkEnd w:id="150"/>
      <w:bookmarkEnd w:id="151"/>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工程措施：表土剥离252m³、土地平整0.2hm2。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植物措施：撒播草籽5kg、栽植杜英333株、栽植红继木667株。</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临时措施：临时挡土坎233m、临时排水沟268m、沉砂池3个、铺撒碎石子131m³、防尘网覆盖1637㎡。</w:t>
      </w:r>
    </w:p>
    <w:p>
      <w:pPr>
        <w:keepNext w:val="0"/>
        <w:keepLines w:val="0"/>
        <w:pageBreakBefore w:val="0"/>
        <w:widowControl w:val="0"/>
        <w:numPr>
          <w:ilvl w:val="0"/>
          <w:numId w:val="4"/>
        </w:numPr>
        <w:kinsoku/>
        <w:wordWrap/>
        <w:overflowPunct/>
        <w:topLinePunct w:val="0"/>
        <w:autoSpaceDE/>
        <w:autoSpaceDN/>
        <w:bidi w:val="0"/>
        <w:adjustRightInd/>
        <w:snapToGrid/>
        <w:spacing w:line="360" w:lineRule="auto"/>
        <w:ind w:left="0" w:leftChars="0" w:firstLine="480" w:firstLineChars="200"/>
        <w:jc w:val="both"/>
        <w:textAlignment w:val="auto"/>
        <w:outlineLvl w:val="1"/>
        <w:rPr>
          <w:rFonts w:hint="default" w:ascii="Times New Roman" w:hAnsi="Times New Roman" w:cs="Times New Roman"/>
          <w:color w:val="auto"/>
          <w:sz w:val="24"/>
          <w:szCs w:val="24"/>
          <w:highlight w:val="none"/>
          <w:lang w:val="en-US" w:eastAsia="zh-CN"/>
        </w:rPr>
      </w:pPr>
      <w:bookmarkStart w:id="152" w:name="_Toc5709"/>
      <w:bookmarkStart w:id="153" w:name="_Toc14424"/>
      <w:bookmarkStart w:id="154" w:name="_Toc18846"/>
      <w:bookmarkStart w:id="155" w:name="_Toc12415"/>
      <w:bookmarkStart w:id="156" w:name="_Toc14305"/>
      <w:bookmarkStart w:id="157" w:name="_Toc20776"/>
      <w:bookmarkStart w:id="158" w:name="_Toc32339"/>
      <w:r>
        <w:rPr>
          <w:rFonts w:hint="default" w:ascii="Times New Roman" w:hAnsi="Times New Roman" w:cs="Times New Roman"/>
          <w:color w:val="auto"/>
          <w:sz w:val="24"/>
          <w:szCs w:val="24"/>
          <w:highlight w:val="none"/>
          <w:lang w:val="en-US" w:eastAsia="zh-CN"/>
        </w:rPr>
        <w:t>临时堆土区</w:t>
      </w:r>
      <w:bookmarkEnd w:id="152"/>
      <w:bookmarkEnd w:id="153"/>
      <w:bookmarkEnd w:id="154"/>
      <w:bookmarkEnd w:id="155"/>
      <w:bookmarkEnd w:id="156"/>
      <w:bookmarkEnd w:id="157"/>
      <w:bookmarkEnd w:id="158"/>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工程措施：表土剥离252m³、土地平整0.2hm2。</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植物措施：撒播草籽5kg、栽植杜英350株、栽植红继木700株。</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临时措施：临时挡土坎239m、临时排水沟275m、沉砂池3个、铺撒碎石子60m³、防尘网覆盖1637㎡。</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开发建设项目监测内容包括：</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项目区水土保持生态环境状况监测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both"/>
        <w:textAlignment w:val="auto"/>
        <w:rPr>
          <w:rFonts w:hint="default" w:ascii="Times New Roman" w:hAnsi="Times New Roman" w:eastAsia="仿宋" w:cs="Times New Roman"/>
          <w:color w:val="auto"/>
          <w:spacing w:val="-8"/>
          <w:sz w:val="24"/>
          <w:szCs w:val="24"/>
          <w:highlight w:val="none"/>
        </w:rPr>
      </w:pPr>
      <w:r>
        <w:rPr>
          <w:rFonts w:hint="default" w:ascii="Times New Roman" w:hAnsi="Times New Roman" w:eastAsia="仿宋" w:cs="Times New Roman"/>
          <w:color w:val="auto"/>
          <w:spacing w:val="-4"/>
          <w:sz w:val="24"/>
          <w:szCs w:val="24"/>
          <w:highlight w:val="none"/>
        </w:rPr>
        <w:t>主要包括影响土壤侵蚀的地形、地貌、土壤、林草覆盖率等自然因子及工程建设对这些因子的影响；工程建设引起的对土地扰动及面积、弃渣量、</w:t>
      </w:r>
      <w:r>
        <w:rPr>
          <w:rFonts w:hint="default" w:ascii="Times New Roman" w:hAnsi="Times New Roman" w:eastAsia="仿宋" w:cs="Times New Roman"/>
          <w:color w:val="auto"/>
          <w:spacing w:val="-8"/>
          <w:sz w:val="24"/>
          <w:szCs w:val="24"/>
          <w:highlight w:val="none"/>
        </w:rPr>
        <w:t>挖方、填方量及占地面积；工程建设引起的破坏水土保持设施的种类与面积等。</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项目区水土流失动态变化监测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8" w:firstLineChars="200"/>
        <w:jc w:val="both"/>
        <w:textAlignment w:val="auto"/>
        <w:rPr>
          <w:rFonts w:hint="default" w:ascii="Times New Roman" w:hAnsi="Times New Roman" w:eastAsia="仿宋" w:cs="Times New Roman"/>
          <w:color w:val="auto"/>
          <w:spacing w:val="-8"/>
          <w:sz w:val="24"/>
          <w:szCs w:val="24"/>
          <w:highlight w:val="none"/>
        </w:rPr>
      </w:pPr>
      <w:r>
        <w:rPr>
          <w:rFonts w:hint="default" w:ascii="Times New Roman" w:hAnsi="Times New Roman" w:eastAsia="仿宋" w:cs="Times New Roman"/>
          <w:color w:val="auto"/>
          <w:spacing w:val="-3"/>
          <w:sz w:val="24"/>
          <w:szCs w:val="24"/>
          <w:highlight w:val="none"/>
        </w:rPr>
        <w:t>主要包括工程建设期的扰动地表面积、损坏水土保持设施数量、水土流</w:t>
      </w:r>
      <w:r>
        <w:rPr>
          <w:rFonts w:hint="default" w:ascii="Times New Roman" w:hAnsi="Times New Roman" w:eastAsia="仿宋" w:cs="Times New Roman"/>
          <w:color w:val="auto"/>
          <w:spacing w:val="-8"/>
          <w:w w:val="95"/>
          <w:sz w:val="24"/>
          <w:szCs w:val="24"/>
          <w:highlight w:val="none"/>
        </w:rPr>
        <w:t>失面积、分布、强度、流失量及其变化情况以及对周边地区造成的危</w:t>
      </w:r>
      <w:r>
        <w:rPr>
          <w:rFonts w:hint="default" w:ascii="Times New Roman" w:hAnsi="Times New Roman" w:eastAsia="仿宋" w:cs="Times New Roman"/>
          <w:color w:val="auto"/>
          <w:spacing w:val="-8"/>
          <w:sz w:val="24"/>
          <w:szCs w:val="24"/>
          <w:highlight w:val="none"/>
        </w:rPr>
        <w:t>害及其趋势等。</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水土保持措施防治效果监测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8" w:firstLineChars="200"/>
        <w:jc w:val="both"/>
        <w:textAlignment w:val="auto"/>
        <w:rPr>
          <w:rFonts w:hint="default" w:ascii="Times New Roman" w:hAnsi="Times New Roman" w:eastAsia="仿宋" w:cs="Times New Roman"/>
          <w:color w:val="auto"/>
          <w:spacing w:val="-7"/>
          <w:sz w:val="24"/>
          <w:szCs w:val="24"/>
          <w:highlight w:val="none"/>
        </w:rPr>
      </w:pPr>
      <w:r>
        <w:rPr>
          <w:rFonts w:hint="default" w:ascii="Times New Roman" w:hAnsi="Times New Roman" w:eastAsia="仿宋" w:cs="Times New Roman"/>
          <w:color w:val="auto"/>
          <w:spacing w:val="-3"/>
          <w:sz w:val="24"/>
          <w:szCs w:val="24"/>
          <w:highlight w:val="none"/>
        </w:rPr>
        <w:t>主要对水土流失防治措施的数量和质量的监测；林草措施成活率、保存</w:t>
      </w:r>
      <w:r>
        <w:rPr>
          <w:rFonts w:hint="default" w:ascii="Times New Roman" w:hAnsi="Times New Roman" w:eastAsia="仿宋" w:cs="Times New Roman"/>
          <w:color w:val="auto"/>
          <w:spacing w:val="-7"/>
          <w:w w:val="95"/>
          <w:sz w:val="24"/>
          <w:szCs w:val="24"/>
          <w:highlight w:val="none"/>
        </w:rPr>
        <w:t xml:space="preserve">率、生长情况及覆盖率的监测；防护工程的稳定性、完好程度和运行情况的  </w:t>
      </w:r>
      <w:r>
        <w:rPr>
          <w:rFonts w:hint="default" w:ascii="Times New Roman" w:hAnsi="Times New Roman" w:eastAsia="仿宋" w:cs="Times New Roman"/>
          <w:color w:val="auto"/>
          <w:spacing w:val="-7"/>
          <w:sz w:val="24"/>
          <w:szCs w:val="24"/>
          <w:highlight w:val="none"/>
        </w:rPr>
        <w:t>监测和各项防治措施的拦渣保土效果。</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土壤侵蚀背景值监测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施工准备期前应对土壤侵蚀的背景值进行监测。</w:t>
      </w:r>
    </w:p>
    <w:p>
      <w:pPr>
        <w:keepNext w:val="0"/>
        <w:keepLines w:val="0"/>
        <w:pageBreakBefore w:val="0"/>
        <w:widowControl w:val="0"/>
        <w:numPr>
          <w:ilvl w:val="0"/>
          <w:numId w:val="5"/>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重大水土流失事件监测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64" w:firstLineChars="200"/>
        <w:jc w:val="both"/>
        <w:textAlignment w:val="auto"/>
        <w:rPr>
          <w:rFonts w:hint="default" w:ascii="Times New Roman" w:hAnsi="Times New Roman" w:eastAsia="仿宋" w:cs="Times New Roman"/>
          <w:color w:val="auto"/>
          <w:spacing w:val="-8"/>
          <w:sz w:val="24"/>
          <w:szCs w:val="24"/>
          <w:highlight w:val="none"/>
        </w:rPr>
      </w:pPr>
      <w:r>
        <w:rPr>
          <w:rFonts w:hint="default" w:ascii="Times New Roman" w:hAnsi="Times New Roman" w:eastAsia="仿宋" w:cs="Times New Roman"/>
          <w:color w:val="auto"/>
          <w:spacing w:val="-4"/>
          <w:sz w:val="24"/>
          <w:szCs w:val="24"/>
          <w:highlight w:val="none"/>
        </w:rPr>
        <w:t>主要对因施工开挖形成的高边坡、高填方段以及弃渣场等地质条件较差</w:t>
      </w:r>
      <w:r>
        <w:rPr>
          <w:rFonts w:hint="default" w:ascii="Times New Roman" w:hAnsi="Times New Roman" w:eastAsia="仿宋" w:cs="Times New Roman"/>
          <w:color w:val="auto"/>
          <w:spacing w:val="-8"/>
          <w:sz w:val="24"/>
          <w:szCs w:val="24"/>
          <w:highlight w:val="none"/>
        </w:rPr>
        <w:t>的施工段，如果防护不当则可能造成</w:t>
      </w:r>
      <w:r>
        <w:rPr>
          <w:rFonts w:hint="default" w:ascii="Times New Roman" w:hAnsi="Times New Roman" w:cs="Times New Roman"/>
          <w:color w:val="auto"/>
          <w:spacing w:val="-8"/>
          <w:sz w:val="24"/>
          <w:szCs w:val="24"/>
          <w:highlight w:val="none"/>
          <w:lang w:val="en-US" w:eastAsia="zh-CN"/>
        </w:rPr>
        <w:t>严重的水土流失</w:t>
      </w:r>
      <w:r>
        <w:rPr>
          <w:rFonts w:hint="default" w:ascii="Times New Roman" w:hAnsi="Times New Roman" w:eastAsia="仿宋" w:cs="Times New Roman"/>
          <w:color w:val="auto"/>
          <w:spacing w:val="-8"/>
          <w:sz w:val="24"/>
          <w:szCs w:val="24"/>
          <w:highlight w:val="none"/>
        </w:rPr>
        <w:t>潜在危险，以及渣场垮塌等重大事件进行监测。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受业主委托，我单位于 20</w:t>
      </w:r>
      <w:r>
        <w:rPr>
          <w:rFonts w:hint="default" w:ascii="Times New Roman" w:hAnsi="Times New Roman" w:cs="Times New Roman"/>
          <w:color w:val="auto"/>
          <w:sz w:val="24"/>
          <w:szCs w:val="24"/>
          <w:highlight w:val="none"/>
          <w:lang w:val="en-US" w:eastAsia="zh-CN"/>
        </w:rPr>
        <w:t>16</w:t>
      </w:r>
      <w:r>
        <w:rPr>
          <w:rFonts w:hint="default" w:ascii="Times New Roman" w:hAnsi="Times New Roman" w:eastAsia="仿宋" w:cs="Times New Roman"/>
          <w:color w:val="auto"/>
          <w:sz w:val="24"/>
          <w:szCs w:val="24"/>
          <w:highlight w:val="none"/>
        </w:rPr>
        <w:t xml:space="preserve">年 </w:t>
      </w:r>
      <w:r>
        <w:rPr>
          <w:rFonts w:hint="default" w:ascii="Times New Roman" w:hAnsi="Times New Roman" w:cs="Times New Roman"/>
          <w:color w:val="auto"/>
          <w:sz w:val="24"/>
          <w:szCs w:val="24"/>
          <w:highlight w:val="none"/>
          <w:lang w:val="en-US" w:eastAsia="zh-CN"/>
        </w:rPr>
        <w:t>10</w:t>
      </w:r>
      <w:r>
        <w:rPr>
          <w:rFonts w:hint="default" w:ascii="Times New Roman" w:hAnsi="Times New Roman" w:eastAsia="仿宋" w:cs="Times New Roman"/>
          <w:color w:val="auto"/>
          <w:sz w:val="24"/>
          <w:szCs w:val="24"/>
          <w:highlight w:val="none"/>
        </w:rPr>
        <w:t xml:space="preserve"> 月开始</w:t>
      </w:r>
      <w:r>
        <w:rPr>
          <w:rFonts w:hint="default" w:ascii="Times New Roman" w:hAnsi="Times New Roman" w:cs="Times New Roman"/>
          <w:color w:val="auto"/>
          <w:sz w:val="24"/>
          <w:szCs w:val="24"/>
          <w:highlight w:val="none"/>
          <w:lang w:val="en-US" w:eastAsia="zh-CN"/>
        </w:rPr>
        <w:t>对华天路新建工程</w:t>
      </w:r>
      <w:r>
        <w:rPr>
          <w:rFonts w:hint="default" w:ascii="Times New Roman" w:hAnsi="Times New Roman" w:eastAsia="仿宋" w:cs="Times New Roman"/>
          <w:color w:val="auto"/>
          <w:sz w:val="24"/>
          <w:szCs w:val="24"/>
          <w:highlight w:val="none"/>
        </w:rPr>
        <w:t>项目进行水土保持监测工作。</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依据合同及相关法律法规，本项目监测主要内容包括：</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项目建设区水土流失监测；</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水土保持措施的监测；</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水土流失防治效果监测；</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按季度提交水土保持监测报告；</w:t>
      </w:r>
    </w:p>
    <w:p>
      <w:pPr>
        <w:keepNext w:val="0"/>
        <w:keepLines w:val="0"/>
        <w:pageBreakBefore w:val="0"/>
        <w:widowControl w:val="0"/>
        <w:numPr>
          <w:ilvl w:val="0"/>
          <w:numId w:val="6"/>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水土保持设施进行专项验收时，提供本工程的水土保持专项监测报告，并协助业主完成专项验收。</w:t>
      </w:r>
    </w:p>
    <w:p>
      <w:pPr>
        <w:pStyle w:val="3"/>
        <w:bidi w:val="0"/>
        <w:spacing w:line="240" w:lineRule="auto"/>
        <w:rPr>
          <w:rFonts w:hint="default" w:ascii="Times New Roman" w:hAnsi="Times New Roman" w:cs="Times New Roman"/>
          <w:color w:val="auto"/>
          <w:highlight w:val="none"/>
          <w:lang w:val="en-US" w:eastAsia="zh-CN"/>
        </w:rPr>
      </w:pPr>
      <w:bookmarkStart w:id="159" w:name="_Toc15013"/>
      <w:r>
        <w:rPr>
          <w:rFonts w:hint="default" w:ascii="Times New Roman" w:hAnsi="Times New Roman" w:cs="Times New Roman"/>
          <w:color w:val="auto"/>
          <w:highlight w:val="none"/>
          <w:lang w:val="en-US" w:eastAsia="zh-CN"/>
        </w:rPr>
        <w:t>3.2 开工至本季度末施工情况</w:t>
      </w:r>
      <w:bookmarkEnd w:id="15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截止2021年12月底各部分施工情况</w:t>
      </w:r>
    </w:p>
    <w:p>
      <w:pPr>
        <w:pStyle w:val="18"/>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主体工程区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施工进度完成100%，绿化完成100%。</w:t>
      </w:r>
    </w:p>
    <w:p>
      <w:pPr>
        <w:pStyle w:val="18"/>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附属设施区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施工进度完成100%。</w:t>
      </w:r>
    </w:p>
    <w:p>
      <w:pPr>
        <w:pStyle w:val="18"/>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弃渣回填区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施工进度完成100%，绿化完成100%。</w:t>
      </w:r>
    </w:p>
    <w:p>
      <w:pPr>
        <w:pStyle w:val="18"/>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取土场区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施工进度完成100%，绿化完成100%。</w:t>
      </w:r>
    </w:p>
    <w:p>
      <w:pPr>
        <w:pStyle w:val="18"/>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施工便道区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施工进度完成100%，绿化完成100%。</w:t>
      </w:r>
    </w:p>
    <w:p>
      <w:pPr>
        <w:pStyle w:val="18"/>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施工生产生活区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施工进度完成100%，绿化完成100%。</w:t>
      </w:r>
    </w:p>
    <w:p>
      <w:pPr>
        <w:pStyle w:val="18"/>
        <w:keepNext w:val="0"/>
        <w:keepLines w:val="0"/>
        <w:pageBreakBefore w:val="0"/>
        <w:widowControl w:val="0"/>
        <w:numPr>
          <w:ilvl w:val="0"/>
          <w:numId w:val="7"/>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临时堆土区</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施工进度完成100%，绿化完成100%。</w:t>
      </w:r>
    </w:p>
    <w:p>
      <w:pPr>
        <w:rPr>
          <w:rFonts w:hint="default" w:ascii="Times New Roman" w:hAnsi="Times New Roman" w:cs="Times New Roman"/>
          <w:color w:val="auto"/>
          <w:highlight w:val="none"/>
          <w:lang w:val="en-US" w:eastAsia="zh-CN"/>
        </w:rPr>
      </w:pPr>
      <w:bookmarkStart w:id="160" w:name="_Toc4299"/>
      <w:bookmarkStart w:id="161" w:name="_Toc18895"/>
      <w:bookmarkStart w:id="162" w:name="_Toc13377"/>
      <w:bookmarkStart w:id="163" w:name="_Toc17241"/>
      <w:bookmarkStart w:id="164" w:name="_Toc24647"/>
      <w:bookmarkStart w:id="165" w:name="_Toc15961"/>
    </w:p>
    <w:p>
      <w:pPr>
        <w:pStyle w:val="2"/>
        <w:bidi w:val="0"/>
        <w:rPr>
          <w:rFonts w:hint="default" w:ascii="Times New Roman" w:hAnsi="Times New Roman" w:cs="Times New Roman"/>
          <w:color w:val="auto"/>
          <w:highlight w:val="none"/>
          <w:lang w:val="en-US" w:eastAsia="zh-CN"/>
        </w:rPr>
      </w:pPr>
      <w:bookmarkStart w:id="166" w:name="_Toc27399"/>
      <w:r>
        <w:rPr>
          <w:rFonts w:hint="default" w:ascii="Times New Roman" w:hAnsi="Times New Roman" w:cs="Times New Roman"/>
          <w:color w:val="auto"/>
          <w:highlight w:val="none"/>
          <w:lang w:val="en-US" w:eastAsia="zh-CN"/>
        </w:rPr>
        <w:t>4 主体工程进展</w:t>
      </w:r>
      <w:bookmarkEnd w:id="160"/>
      <w:bookmarkEnd w:id="161"/>
      <w:bookmarkEnd w:id="162"/>
      <w:bookmarkEnd w:id="163"/>
      <w:bookmarkEnd w:id="164"/>
      <w:bookmarkEnd w:id="165"/>
      <w:bookmarkEnd w:id="16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通过现场勘查，2021年第四季度衡阳市华天路新建工程项目情况进展：所有子项已全部施工完成。</w:t>
      </w:r>
    </w:p>
    <w:p>
      <w:pPr>
        <w:pStyle w:val="18"/>
        <w:rPr>
          <w:rFonts w:hint="default" w:ascii="Times New Roman" w:hAnsi="Times New Roman" w:eastAsia="宋体" w:cs="Times New Roman"/>
          <w:color w:val="auto"/>
          <w:sz w:val="24"/>
          <w:szCs w:val="24"/>
          <w:highlight w:val="none"/>
        </w:rPr>
      </w:pPr>
      <w:r>
        <w:rPr>
          <w:rFonts w:hint="default" w:ascii="Times New Roman" w:hAnsi="Times New Roman" w:eastAsia="宋体" w:cs="Times New Roman"/>
          <w:color w:val="auto"/>
          <w:sz w:val="24"/>
          <w:szCs w:val="24"/>
          <w:highlight w:val="none"/>
        </w:rPr>
        <w:drawing>
          <wp:inline distT="0" distB="0" distL="114300" distR="114300">
            <wp:extent cx="4990465" cy="6728460"/>
            <wp:effectExtent l="0" t="0" r="8255" b="7620"/>
            <wp:docPr id="35"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5" name="图片 1" descr="IMG_256"/>
                    <pic:cNvPicPr>
                      <a:picLocks noChangeAspect="1"/>
                    </pic:cNvPicPr>
                  </pic:nvPicPr>
                  <pic:blipFill>
                    <a:blip r:embed="rId51"/>
                    <a:stretch>
                      <a:fillRect/>
                    </a:stretch>
                  </pic:blipFill>
                  <pic:spPr>
                    <a:xfrm>
                      <a:off x="0" y="0"/>
                      <a:ext cx="4990465" cy="6728460"/>
                    </a:xfrm>
                    <a:prstGeom prst="rect">
                      <a:avLst/>
                    </a:prstGeom>
                    <a:noFill/>
                    <a:ln w="9525">
                      <a:noFill/>
                    </a:ln>
                  </pic:spPr>
                </pic:pic>
              </a:graphicData>
            </a:graphic>
          </wp:inline>
        </w:drawing>
      </w:r>
    </w:p>
    <w:p>
      <w:pPr>
        <w:rPr>
          <w:rFonts w:hint="default" w:ascii="Times New Roman" w:hAnsi="Times New Roman" w:eastAsia="宋体" w:cs="Times New Roman"/>
          <w:color w:val="auto"/>
          <w:sz w:val="24"/>
          <w:szCs w:val="24"/>
          <w:highlight w:val="none"/>
        </w:rPr>
      </w:pPr>
    </w:p>
    <w:p>
      <w:pPr>
        <w:bidi w:val="0"/>
        <w:rPr>
          <w:rFonts w:hint="default" w:ascii="Times New Roman" w:hAnsi="Times New Roman" w:cs="Times New Roman"/>
          <w:color w:val="auto"/>
          <w:highlight w:val="none"/>
          <w:lang w:val="en-US" w:eastAsia="zh-CN"/>
        </w:rPr>
        <w:sectPr>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cs="Times New Roman"/>
          <w:color w:val="auto"/>
          <w:highlight w:val="none"/>
          <w:lang w:val="en-US" w:eastAsia="zh-CN"/>
        </w:rPr>
        <w:t>工程区航拍图</w:t>
      </w:r>
    </w:p>
    <w:p>
      <w:pPr>
        <w:pStyle w:val="2"/>
        <w:bidi w:val="0"/>
        <w:rPr>
          <w:rFonts w:hint="default" w:ascii="Times New Roman" w:hAnsi="Times New Roman" w:cs="Times New Roman"/>
          <w:color w:val="auto"/>
          <w:highlight w:val="none"/>
          <w:lang w:val="en-US" w:eastAsia="zh-CN"/>
        </w:rPr>
      </w:pPr>
      <w:bookmarkStart w:id="167" w:name="_Toc5712"/>
      <w:bookmarkStart w:id="168" w:name="_Toc24686"/>
      <w:bookmarkStart w:id="169" w:name="_Toc29269"/>
      <w:bookmarkStart w:id="170" w:name="_Toc17873"/>
      <w:bookmarkStart w:id="171" w:name="_Toc94"/>
      <w:bookmarkStart w:id="172" w:name="_Toc8907"/>
      <w:bookmarkStart w:id="173" w:name="_Toc3773"/>
      <w:r>
        <w:rPr>
          <w:rFonts w:hint="default" w:ascii="Times New Roman" w:hAnsi="Times New Roman" w:cs="Times New Roman"/>
          <w:color w:val="auto"/>
          <w:highlight w:val="none"/>
          <w:lang w:val="en-US" w:eastAsia="zh-CN"/>
        </w:rPr>
        <w:t>5 水土保持措施实施情况监测</w:t>
      </w:r>
      <w:bookmarkEnd w:id="16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本季报主要反映本工程开工至2021年</w:t>
      </w:r>
      <w:r>
        <w:rPr>
          <w:rFonts w:hint="default" w:ascii="Times New Roman" w:hAnsi="Times New Roman" w:cs="Times New Roman"/>
          <w:color w:val="auto"/>
          <w:highlight w:val="none"/>
          <w:lang w:val="en-US" w:eastAsia="zh-CN"/>
        </w:rPr>
        <w:t>12</w:t>
      </w:r>
      <w:r>
        <w:rPr>
          <w:rFonts w:hint="default" w:ascii="Times New Roman" w:hAnsi="Times New Roman" w:cs="Times New Roman"/>
          <w:color w:val="auto"/>
          <w:highlight w:val="none"/>
        </w:rPr>
        <w:t>月的水土保持监测成果，监测内容主要包括项目区内的扰动地表面积、水土流失面积、</w:t>
      </w:r>
      <w:r>
        <w:rPr>
          <w:rFonts w:hint="default" w:ascii="Times New Roman" w:hAnsi="Times New Roman" w:cs="Times New Roman"/>
          <w:color w:val="auto"/>
          <w:highlight w:val="none"/>
          <w:lang w:eastAsia="zh-CN"/>
        </w:rPr>
        <w:t>取土场</w:t>
      </w:r>
      <w:r>
        <w:rPr>
          <w:rFonts w:hint="default" w:ascii="Times New Roman" w:hAnsi="Times New Roman" w:cs="Times New Roman"/>
          <w:color w:val="auto"/>
          <w:highlight w:val="none"/>
        </w:rPr>
        <w:t>量、土壤流失及水土保持措施实施情况等。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通过对项目建设区现场调查</w:t>
      </w:r>
      <w:r>
        <w:rPr>
          <w:rFonts w:hint="default" w:ascii="Times New Roman" w:hAnsi="Times New Roman" w:cs="Times New Roman"/>
          <w:color w:val="auto"/>
          <w:highlight w:val="none"/>
          <w:lang w:val="en-US" w:eastAsia="zh-CN"/>
        </w:rPr>
        <w:t>结合施工方及监理方资料</w:t>
      </w:r>
      <w:r>
        <w:rPr>
          <w:rFonts w:hint="default" w:ascii="Times New Roman" w:hAnsi="Times New Roman" w:cs="Times New Roman"/>
          <w:color w:val="auto"/>
          <w:highlight w:val="none"/>
        </w:rPr>
        <w:t>等数据资料的分析处理，得出如下水土保持监测结论</w:t>
      </w:r>
      <w:r>
        <w:rPr>
          <w:rFonts w:hint="default" w:ascii="Times New Roman" w:hAnsi="Times New Roman" w:cs="Times New Roman"/>
          <w:color w:val="auto"/>
          <w:highlight w:val="none"/>
          <w:lang w:eastAsia="zh-CN"/>
        </w:rPr>
        <w:t>。</w:t>
      </w:r>
    </w:p>
    <w:p>
      <w:pPr>
        <w:pStyle w:val="3"/>
        <w:bidi w:val="0"/>
        <w:rPr>
          <w:rFonts w:hint="default" w:ascii="Times New Roman" w:hAnsi="Times New Roman" w:cs="Times New Roman"/>
          <w:color w:val="auto"/>
          <w:highlight w:val="none"/>
          <w:lang w:val="en-US" w:eastAsia="zh-CN"/>
        </w:rPr>
      </w:pPr>
      <w:bookmarkStart w:id="174" w:name="_Toc9304"/>
      <w:r>
        <w:rPr>
          <w:rFonts w:hint="default" w:ascii="Times New Roman" w:hAnsi="Times New Roman" w:cs="Times New Roman"/>
          <w:color w:val="auto"/>
          <w:highlight w:val="none"/>
          <w:lang w:val="en-US" w:eastAsia="zh-CN"/>
        </w:rPr>
        <w:t>5.1 扰动土地面积</w:t>
      </w:r>
      <w:bookmarkEnd w:id="17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至 2021年</w:t>
      </w:r>
      <w:r>
        <w:rPr>
          <w:rFonts w:hint="default" w:ascii="Times New Roman" w:hAnsi="Times New Roman" w:cs="Times New Roman"/>
          <w:color w:val="auto"/>
          <w:highlight w:val="none"/>
          <w:lang w:val="en-US" w:eastAsia="zh-CN"/>
        </w:rPr>
        <w:t>12</w:t>
      </w:r>
      <w:r>
        <w:rPr>
          <w:rFonts w:hint="default" w:ascii="Times New Roman" w:hAnsi="Times New Roman" w:cs="Times New Roman"/>
          <w:color w:val="auto"/>
          <w:highlight w:val="none"/>
        </w:rPr>
        <w:t>月，本季度施工建设活动累计扰动地表面积约</w:t>
      </w:r>
      <w:r>
        <w:rPr>
          <w:rFonts w:hint="default" w:ascii="Times New Roman" w:hAnsi="Times New Roman" w:cs="Times New Roman"/>
          <w:color w:val="auto"/>
          <w:highlight w:val="none"/>
          <w:lang w:val="en-US" w:eastAsia="zh-CN"/>
        </w:rPr>
        <w:t>8.51</w:t>
      </w:r>
      <w:r>
        <w:rPr>
          <w:rFonts w:hint="default" w:ascii="Times New Roman" w:hAnsi="Times New Roman" w:cs="Times New Roman"/>
          <w:color w:val="auto"/>
          <w:highlight w:val="none"/>
        </w:rPr>
        <w:t>h</w:t>
      </w:r>
      <w:r>
        <w:rPr>
          <w:rFonts w:hint="default" w:ascii="Times New Roman" w:hAnsi="Times New Roman" w:cs="Times New Roman"/>
          <w:color w:val="auto"/>
          <w:highlight w:val="none"/>
          <w:lang w:eastAsia="zh-CN"/>
        </w:rPr>
        <w:t>m²</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本季度新增扰动表面积为0，</w:t>
      </w:r>
      <w:r>
        <w:rPr>
          <w:rFonts w:hint="default" w:ascii="Times New Roman" w:hAnsi="Times New Roman" w:cs="Times New Roman"/>
          <w:color w:val="auto"/>
          <w:highlight w:val="none"/>
        </w:rPr>
        <w:t>目前</w:t>
      </w:r>
      <w:r>
        <w:rPr>
          <w:rFonts w:hint="default" w:ascii="Times New Roman" w:hAnsi="Times New Roman" w:cs="Times New Roman"/>
          <w:color w:val="auto"/>
          <w:highlight w:val="none"/>
          <w:lang w:val="en-US" w:eastAsia="zh-CN"/>
        </w:rPr>
        <w:t>项目主体工程已全部完工</w:t>
      </w:r>
      <w:r>
        <w:rPr>
          <w:rFonts w:hint="default" w:ascii="Times New Roman" w:hAnsi="Times New Roman" w:cs="Times New Roman"/>
          <w:color w:val="auto"/>
          <w:highlight w:val="none"/>
        </w:rPr>
        <w:t>阶段</w:t>
      </w:r>
      <w:r>
        <w:rPr>
          <w:rFonts w:hint="default" w:ascii="Times New Roman" w:hAnsi="Times New Roman" w:cs="Times New Roman"/>
          <w:color w:val="auto"/>
          <w:highlight w:val="none"/>
          <w:lang w:eastAsia="zh-CN"/>
        </w:rPr>
        <w:t>。</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分区</w:t>
            </w:r>
          </w:p>
        </w:tc>
        <w:tc>
          <w:tcPr>
            <w:tcW w:w="1704" w:type="dxa"/>
            <w:vMerge w:val="restart"/>
            <w:vAlign w:val="center"/>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占地面积</w:t>
            </w:r>
          </w:p>
        </w:tc>
        <w:tc>
          <w:tcPr>
            <w:tcW w:w="5114" w:type="dxa"/>
            <w:gridSpan w:val="3"/>
            <w:vAlign w:val="center"/>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扰动土地治理面积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bidi w:val="0"/>
              <w:jc w:val="center"/>
              <w:rPr>
                <w:rFonts w:hint="default" w:ascii="Times New Roman" w:hAnsi="Times New Roman" w:eastAsia="仿宋" w:cs="Times New Roman"/>
                <w:color w:val="auto"/>
                <w:sz w:val="21"/>
                <w:szCs w:val="21"/>
                <w:highlight w:val="none"/>
                <w:vertAlign w:val="baseline"/>
                <w:lang w:val="en-US" w:eastAsia="zh-CN"/>
              </w:rPr>
            </w:pPr>
          </w:p>
        </w:tc>
        <w:tc>
          <w:tcPr>
            <w:tcW w:w="1704" w:type="dxa"/>
            <w:vMerge w:val="continue"/>
            <w:vAlign w:val="center"/>
          </w:tcPr>
          <w:p>
            <w:pPr>
              <w:bidi w:val="0"/>
              <w:jc w:val="center"/>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截止上季度</w:t>
            </w:r>
          </w:p>
        </w:tc>
        <w:tc>
          <w:tcPr>
            <w:tcW w:w="1705" w:type="dxa"/>
            <w:vAlign w:val="center"/>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本季度新增</w:t>
            </w:r>
          </w:p>
        </w:tc>
        <w:tc>
          <w:tcPr>
            <w:tcW w:w="1705" w:type="dxa"/>
            <w:vAlign w:val="center"/>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主体工程区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3.80</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3.80</w:t>
            </w:r>
          </w:p>
        </w:tc>
        <w:tc>
          <w:tcPr>
            <w:tcW w:w="1705" w:type="dxa"/>
            <w:vAlign w:val="center"/>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附属设施区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1.41</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1.41</w:t>
            </w:r>
          </w:p>
        </w:tc>
        <w:tc>
          <w:tcPr>
            <w:tcW w:w="1705" w:type="dxa"/>
            <w:vAlign w:val="center"/>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弃渣回填区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0" w:type="auto"/>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取土场区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2.00</w:t>
            </w:r>
          </w:p>
        </w:tc>
        <w:tc>
          <w:tcPr>
            <w:tcW w:w="0" w:type="auto"/>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施工便道区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0" w:type="auto"/>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施工生产生活区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c>
          <w:tcPr>
            <w:tcW w:w="0" w:type="auto"/>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临时堆放区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4"/>
                <w:highlight w:val="none"/>
                <w:lang w:val="en-US" w:eastAsia="zh-CN" w:bidi="ar-SA"/>
              </w:rPr>
            </w:pPr>
            <w:r>
              <w:rPr>
                <w:rFonts w:hint="default" w:ascii="Times New Roman" w:hAnsi="Times New Roman" w:cs="Times New Roman"/>
                <w:color w:val="auto"/>
                <w:sz w:val="21"/>
                <w:szCs w:val="21"/>
                <w:highlight w:val="none"/>
                <w:vertAlign w:val="baseline"/>
                <w:lang w:val="en-US" w:eastAsia="zh-CN"/>
              </w:rPr>
              <w:t>0.21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4"/>
                <w:highlight w:val="none"/>
                <w:lang w:val="en-US" w:eastAsia="zh-CN" w:bidi="ar-SA"/>
              </w:rPr>
            </w:pPr>
            <w:r>
              <w:rPr>
                <w:rFonts w:hint="default" w:ascii="Times New Roman" w:hAnsi="Times New Roman" w:cs="Times New Roman"/>
                <w:color w:val="auto"/>
                <w:sz w:val="21"/>
                <w:szCs w:val="21"/>
                <w:highlight w:val="none"/>
                <w:vertAlign w:val="baseline"/>
                <w:lang w:val="en-US" w:eastAsia="zh-CN"/>
              </w:rPr>
              <w:t>0.21</w:t>
            </w:r>
          </w:p>
        </w:tc>
        <w:tc>
          <w:tcPr>
            <w:tcW w:w="0" w:type="auto"/>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4"/>
                <w:highlight w:val="none"/>
                <w:lang w:val="en-US" w:eastAsia="zh-CN" w:bidi="ar-SA"/>
              </w:rPr>
            </w:pPr>
            <w:r>
              <w:rPr>
                <w:rFonts w:hint="default" w:ascii="Times New Roman" w:hAnsi="Times New Roman" w:cs="Times New Roman"/>
                <w:color w:val="auto"/>
                <w:sz w:val="21"/>
                <w:szCs w:val="21"/>
                <w:highlight w:val="none"/>
                <w:vertAlign w:val="baseline"/>
                <w:lang w:val="en-US" w:eastAsia="zh-CN"/>
              </w:rPr>
              <w:t>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0" w:type="auto"/>
            <w:vAlign w:val="center"/>
          </w:tcPr>
          <w:p>
            <w:pPr>
              <w:pStyle w:val="24"/>
              <w:spacing w:before="8" w:line="261" w:lineRule="exact"/>
              <w:ind w:left="375" w:leftChars="0" w:right="367"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总计</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4"/>
                <w:highlight w:val="none"/>
                <w:lang w:val="en-US" w:eastAsia="zh-CN" w:bidi="ar-SA"/>
              </w:rPr>
            </w:pPr>
            <w:r>
              <w:rPr>
                <w:rFonts w:hint="default" w:ascii="Times New Roman" w:hAnsi="Times New Roman" w:cs="Times New Roman"/>
                <w:color w:val="auto"/>
                <w:sz w:val="21"/>
                <w:szCs w:val="21"/>
                <w:highlight w:val="none"/>
                <w:vertAlign w:val="baseline"/>
                <w:lang w:val="en-US" w:eastAsia="zh-CN"/>
              </w:rPr>
              <w:t>8.51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4"/>
                <w:highlight w:val="none"/>
                <w:lang w:val="en-US" w:eastAsia="zh-CN" w:bidi="ar-SA"/>
              </w:rPr>
            </w:pPr>
            <w:r>
              <w:rPr>
                <w:rFonts w:hint="default" w:ascii="Times New Roman" w:hAnsi="Times New Roman" w:cs="Times New Roman"/>
                <w:color w:val="auto"/>
                <w:sz w:val="21"/>
                <w:szCs w:val="21"/>
                <w:highlight w:val="none"/>
                <w:vertAlign w:val="baseline"/>
                <w:lang w:val="en-US" w:eastAsia="zh-CN"/>
              </w:rPr>
              <w:t>8.51</w:t>
            </w:r>
          </w:p>
        </w:tc>
        <w:tc>
          <w:tcPr>
            <w:tcW w:w="0" w:type="auto"/>
          </w:tcPr>
          <w:p>
            <w:pPr>
              <w:bidi w:val="0"/>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4"/>
                <w:highlight w:val="none"/>
                <w:lang w:val="en-US" w:eastAsia="zh-CN" w:bidi="ar-SA"/>
              </w:rPr>
            </w:pPr>
            <w:r>
              <w:rPr>
                <w:rFonts w:hint="default" w:ascii="Times New Roman" w:hAnsi="Times New Roman" w:cs="Times New Roman"/>
                <w:color w:val="auto"/>
                <w:sz w:val="21"/>
                <w:szCs w:val="21"/>
                <w:highlight w:val="none"/>
                <w:vertAlign w:val="baseline"/>
                <w:lang w:val="en-US" w:eastAsia="zh-CN"/>
              </w:rPr>
              <w:t>8.51</w:t>
            </w:r>
          </w:p>
        </w:tc>
      </w:tr>
    </w:tbl>
    <w:p>
      <w:pPr>
        <w:bidi w:val="0"/>
        <w:rPr>
          <w:rFonts w:hint="default" w:ascii="Times New Roman" w:hAnsi="Times New Roman" w:cs="Times New Roman"/>
          <w:color w:val="auto"/>
          <w:highlight w:val="none"/>
          <w:lang w:val="en-US" w:eastAsia="zh-CN"/>
        </w:rPr>
      </w:pPr>
    </w:p>
    <w:p>
      <w:pPr>
        <w:pStyle w:val="3"/>
        <w:bidi w:val="0"/>
        <w:spacing w:line="240" w:lineRule="auto"/>
        <w:rPr>
          <w:rFonts w:hint="default" w:ascii="Times New Roman" w:hAnsi="Times New Roman" w:cs="Times New Roman"/>
          <w:color w:val="auto"/>
          <w:highlight w:val="none"/>
          <w:lang w:val="en-US" w:eastAsia="zh-CN"/>
        </w:rPr>
      </w:pPr>
      <w:bookmarkStart w:id="175" w:name="_Toc15116"/>
      <w:r>
        <w:rPr>
          <w:rFonts w:hint="default" w:ascii="Times New Roman" w:hAnsi="Times New Roman" w:cs="Times New Roman"/>
          <w:color w:val="auto"/>
          <w:highlight w:val="none"/>
          <w:lang w:val="en-US" w:eastAsia="zh-CN"/>
        </w:rPr>
        <w:t>5.2 取土、弃土情况</w:t>
      </w:r>
      <w:bookmarkEnd w:id="175"/>
    </w:p>
    <w:p>
      <w:pPr>
        <w:pStyle w:val="4"/>
        <w:bidi w:val="0"/>
        <w:spacing w:line="240" w:lineRule="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5.2.1 取土情况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根据衡阳市水利局批复的《衡阳市华天路新建工程项目水土保持方案报告书》，本工程回填土方12.74万m³ ，取土场占地2hm²。</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因主体工程土石方量已全部完成，本季度未新增取土放量。</w:t>
      </w:r>
    </w:p>
    <w:p>
      <w:pPr>
        <w:pStyle w:val="4"/>
        <w:bidi w:val="0"/>
        <w:spacing w:line="240" w:lineRule="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5.2.2 弃土情况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根据批复的水土保持方案报告书，本项目弃方量为0.84 万m³ ，均为土方，由城市渣土办统一调配，无需设置弃渣永久堆场。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截止本季度末，工程实际未设永久弃渣场。</w:t>
      </w:r>
    </w:p>
    <w:p>
      <w:pPr>
        <w:pStyle w:val="3"/>
        <w:bidi w:val="0"/>
        <w:spacing w:line="240" w:lineRule="auto"/>
        <w:rPr>
          <w:rFonts w:hint="default" w:ascii="Times New Roman" w:hAnsi="Times New Roman" w:cs="Times New Roman"/>
          <w:color w:val="auto"/>
          <w:highlight w:val="none"/>
          <w:lang w:val="en-US" w:eastAsia="zh-CN"/>
        </w:rPr>
      </w:pPr>
      <w:bookmarkStart w:id="176" w:name="_Toc9020"/>
      <w:r>
        <w:rPr>
          <w:rFonts w:hint="default" w:ascii="Times New Roman" w:hAnsi="Times New Roman" w:cs="Times New Roman"/>
          <w:color w:val="auto"/>
          <w:highlight w:val="none"/>
          <w:lang w:val="en-US" w:eastAsia="zh-CN"/>
        </w:rPr>
        <w:t>5.3 水土流失监测</w:t>
      </w:r>
      <w:bookmarkEnd w:id="176"/>
    </w:p>
    <w:p>
      <w:pPr>
        <w:pStyle w:val="4"/>
        <w:bidi w:val="0"/>
        <w:spacing w:line="240" w:lineRule="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5.3.1 水土流失面积</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截止上季度末，累计扰动土地面积8.51</w:t>
      </w:r>
      <w:r>
        <w:rPr>
          <w:rFonts w:hint="default" w:ascii="Times New Roman" w:hAnsi="Times New Roman" w:cs="Times New Roman"/>
          <w:color w:val="auto"/>
          <w:highlight w:val="none"/>
        </w:rPr>
        <w:t>h</w:t>
      </w:r>
      <w:r>
        <w:rPr>
          <w:rFonts w:hint="default" w:ascii="Times New Roman" w:hAnsi="Times New Roman" w:cs="Times New Roman"/>
          <w:color w:val="auto"/>
          <w:highlight w:val="none"/>
          <w:lang w:eastAsia="zh-CN"/>
        </w:rPr>
        <w:t>m²。</w:t>
      </w:r>
      <w:r>
        <w:rPr>
          <w:rFonts w:hint="default" w:ascii="Times New Roman" w:hAnsi="Times New Roman" w:cs="Times New Roman"/>
          <w:color w:val="auto"/>
          <w:highlight w:val="none"/>
          <w:lang w:val="en-US" w:eastAsia="zh-CN"/>
        </w:rPr>
        <w:t>本季度未新增扰动面积，截止本季度末，项目建设区水土流失面积为3.9</w:t>
      </w:r>
      <w:r>
        <w:rPr>
          <w:rFonts w:hint="default" w:ascii="Times New Roman" w:hAnsi="Times New Roman" w:cs="Times New Roman"/>
          <w:color w:val="auto"/>
          <w:highlight w:val="none"/>
        </w:rPr>
        <w:t>h</w:t>
      </w:r>
      <w:r>
        <w:rPr>
          <w:rFonts w:hint="default" w:ascii="Times New Roman" w:hAnsi="Times New Roman" w:cs="Times New Roman"/>
          <w:color w:val="auto"/>
          <w:highlight w:val="none"/>
          <w:lang w:eastAsia="zh-CN"/>
        </w:rPr>
        <w:t>m²。</w:t>
      </w:r>
    </w:p>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工程各阶段水土流失面积统计表</w:t>
      </w:r>
    </w:p>
    <w:tbl>
      <w:tblPr>
        <w:tblStyle w:val="20"/>
        <w:tblW w:w="89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8"/>
        <w:gridCol w:w="1869"/>
        <w:gridCol w:w="1961"/>
        <w:gridCol w:w="1704"/>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Merge w:val="restart"/>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分区</w:t>
            </w:r>
          </w:p>
        </w:tc>
        <w:tc>
          <w:tcPr>
            <w:tcW w:w="1869" w:type="dxa"/>
            <w:vMerge w:val="restart"/>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扰动面积</w:t>
            </w:r>
          </w:p>
        </w:tc>
        <w:tc>
          <w:tcPr>
            <w:tcW w:w="5370" w:type="dxa"/>
            <w:gridSpan w:val="3"/>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24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水土流失面积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Merge w:val="continue"/>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p>
        </w:tc>
        <w:tc>
          <w:tcPr>
            <w:tcW w:w="1869" w:type="dxa"/>
            <w:vMerge w:val="continue"/>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cs="Times New Roman"/>
                <w:color w:val="auto"/>
                <w:sz w:val="21"/>
                <w:szCs w:val="21"/>
                <w:highlight w:val="none"/>
                <w:vertAlign w:val="baseline"/>
                <w:lang w:val="en-US" w:eastAsia="zh-CN"/>
              </w:rPr>
            </w:pP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24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截止上季度</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24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新增</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240" w:lineRule="auto"/>
              <w:ind w:right="113"/>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主体工程区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3.80</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right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0.60</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附属设施区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1.41</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right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0.00</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弃渣回填区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right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0.84</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取土场区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2.00</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right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2.00</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施工便道区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right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0.05</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施工生产生活区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0.20</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right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0.20</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临时堆放区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0.21</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right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0.21</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合计</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8.51</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right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3.90</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3.90</w:t>
            </w:r>
          </w:p>
        </w:tc>
      </w:tr>
    </w:tbl>
    <w:p>
      <w:pPr>
        <w:pStyle w:val="3"/>
        <w:bidi w:val="0"/>
        <w:spacing w:line="240" w:lineRule="auto"/>
        <w:rPr>
          <w:rFonts w:hint="default" w:ascii="Times New Roman" w:hAnsi="Times New Roman" w:cs="Times New Roman"/>
          <w:color w:val="auto"/>
          <w:highlight w:val="none"/>
          <w:lang w:val="en-US" w:eastAsia="zh-CN"/>
        </w:rPr>
      </w:pPr>
      <w:bookmarkStart w:id="177" w:name="_Toc22965"/>
      <w:r>
        <w:rPr>
          <w:rFonts w:hint="default" w:ascii="Times New Roman" w:hAnsi="Times New Roman" w:cs="Times New Roman"/>
          <w:color w:val="auto"/>
          <w:highlight w:val="none"/>
          <w:lang w:val="en-US" w:eastAsia="zh-CN"/>
        </w:rPr>
        <w:t>5.4 水土流失危害等</w:t>
      </w:r>
      <w:bookmarkEnd w:id="177"/>
    </w:p>
    <w:p>
      <w:pPr>
        <w:pStyle w:val="18"/>
        <w:keepNext w:val="0"/>
        <w:keepLines w:val="0"/>
        <w:pageBreakBefore w:val="0"/>
        <w:widowControl w:val="0"/>
        <w:kinsoku/>
        <w:wordWrap/>
        <w:overflowPunct/>
        <w:topLinePunct w:val="0"/>
        <w:autoSpaceDE/>
        <w:autoSpaceDN/>
        <w:bidi w:val="0"/>
        <w:adjustRightInd/>
        <w:snapToGrid/>
        <w:spacing w:line="24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本季度未发生水土流失危害事件。</w:t>
      </w:r>
    </w:p>
    <w:p>
      <w:pPr>
        <w:pStyle w:val="3"/>
        <w:bidi w:val="0"/>
        <w:rPr>
          <w:rFonts w:hint="default" w:ascii="Times New Roman" w:hAnsi="Times New Roman" w:cs="Times New Roman"/>
          <w:color w:val="auto"/>
          <w:highlight w:val="none"/>
          <w:lang w:val="en-US" w:eastAsia="zh-CN"/>
        </w:rPr>
      </w:pPr>
      <w:bookmarkStart w:id="178" w:name="_Toc19801"/>
      <w:r>
        <w:rPr>
          <w:rFonts w:hint="default" w:ascii="Times New Roman" w:hAnsi="Times New Roman" w:cs="Times New Roman"/>
          <w:color w:val="auto"/>
          <w:highlight w:val="none"/>
          <w:lang w:val="en-US" w:eastAsia="zh-CN"/>
        </w:rPr>
        <w:t>5.5 水土保持措施监测</w:t>
      </w:r>
      <w:bookmarkEnd w:id="178"/>
    </w:p>
    <w:p>
      <w:pPr>
        <w:pStyle w:val="8"/>
        <w:tabs>
          <w:tab w:val="left" w:pos="3733"/>
        </w:tabs>
        <w:spacing w:before="74" w:after="24"/>
        <w:ind w:left="2693"/>
        <w:rPr>
          <w:rFonts w:hint="default" w:ascii="Times New Roman" w:hAnsi="Times New Roman" w:cs="Times New Roman"/>
          <w:color w:val="auto"/>
          <w:highlight w:val="none"/>
        </w:rPr>
      </w:pPr>
      <w:r>
        <w:rPr>
          <w:rFonts w:hint="default" w:ascii="Times New Roman" w:hAnsi="Times New Roman" w:cs="Times New Roman"/>
          <w:color w:val="auto"/>
          <w:highlight w:val="none"/>
        </w:rPr>
        <w:t>实际完成的水土保持工程量表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381"/>
        <w:gridCol w:w="1338"/>
        <w:gridCol w:w="932"/>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措施类型</w:t>
            </w: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33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932"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2436"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工程量</w:t>
            </w:r>
          </w:p>
        </w:tc>
        <w:tc>
          <w:tcPr>
            <w:tcW w:w="121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累计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3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93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设计总量</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本季度新增</w:t>
            </w:r>
          </w:p>
        </w:tc>
        <w:tc>
          <w:tcPr>
            <w:tcW w:w="12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工程措施</w:t>
            </w:r>
          </w:p>
        </w:tc>
        <w:tc>
          <w:tcPr>
            <w:tcW w:w="13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14733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14733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弃渣回填区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挡渣墙</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92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截水沟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137</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排水沟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229</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浆砌石沉砂池</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1260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截排水沟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448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448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永久沉砂池</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10000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10000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75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施工生产生活区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临时堆土区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252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植物措施</w:t>
            </w: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铺草皮</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kern w:val="2"/>
                <w:sz w:val="21"/>
                <w:szCs w:val="21"/>
                <w:highlight w:val="none"/>
                <w:vertAlign w:val="baseline"/>
                <w:lang w:val="en-US" w:eastAsia="zh-CN" w:bidi="ar-SA"/>
              </w:rPr>
              <w:t>m</w:t>
            </w:r>
            <w:r>
              <w:rPr>
                <w:rFonts w:hint="default" w:ascii="Times New Roman" w:hAnsi="Times New Roman" w:cs="Times New Roman"/>
                <w:color w:val="auto"/>
                <w:kern w:val="2"/>
                <w:sz w:val="21"/>
                <w:szCs w:val="21"/>
                <w:highlight w:val="none"/>
                <w:vertAlign w:val="superscript"/>
                <w:lang w:val="en-US" w:eastAsia="zh-CN" w:bidi="ar-SA"/>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3348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3348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植树</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16470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16470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弃渣回填区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铺草皮</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kern w:val="2"/>
                <w:sz w:val="21"/>
                <w:szCs w:val="21"/>
                <w:highlight w:val="none"/>
                <w:vertAlign w:val="baseline"/>
                <w:lang w:val="en-US" w:eastAsia="zh-CN" w:bidi="ar-SA"/>
              </w:rPr>
              <w:t>m</w:t>
            </w:r>
            <w:r>
              <w:rPr>
                <w:rFonts w:hint="default" w:ascii="Times New Roman" w:hAnsi="Times New Roman" w:cs="Times New Roman"/>
                <w:color w:val="auto"/>
                <w:kern w:val="2"/>
                <w:sz w:val="21"/>
                <w:szCs w:val="21"/>
                <w:highlight w:val="none"/>
                <w:vertAlign w:val="superscript"/>
                <w:lang w:val="en-US" w:eastAsia="zh-CN" w:bidi="ar-SA"/>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560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撒播草籽</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kg</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香樟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杜英</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红继木</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680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铺草皮</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m</w:t>
            </w:r>
            <w:r>
              <w:rPr>
                <w:rFonts w:hint="default" w:ascii="Times New Roman" w:hAnsi="Times New Roman" w:cs="Times New Roman"/>
                <w:color w:val="auto"/>
                <w:kern w:val="2"/>
                <w:sz w:val="21"/>
                <w:szCs w:val="21"/>
                <w:highlight w:val="none"/>
                <w:vertAlign w:val="superscript"/>
                <w:lang w:val="en-US" w:eastAsia="zh-CN" w:bidi="ar-SA"/>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4000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撒播草籽</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kg</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香樟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杜英</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红继木</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4000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4000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铺草皮</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m</w:t>
            </w:r>
            <w:r>
              <w:rPr>
                <w:rFonts w:hint="default" w:ascii="Times New Roman" w:hAnsi="Times New Roman" w:cs="Times New Roman"/>
                <w:color w:val="auto"/>
                <w:kern w:val="2"/>
                <w:sz w:val="21"/>
                <w:szCs w:val="21"/>
                <w:highlight w:val="none"/>
                <w:vertAlign w:val="superscript"/>
                <w:lang w:val="en-US" w:eastAsia="zh-CN" w:bidi="ar-SA"/>
              </w:rPr>
              <w:t>2</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撒播草籽</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kg</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1.25</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香樟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31</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杜英</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31</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红继木</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167</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施工生产生活区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撒播草籽</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kg</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杜英</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333</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红继木</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667</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667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临时堆土区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撒播草籽</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kg</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杜英</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350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红继木</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700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临时措施</w:t>
            </w: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2632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2632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挡土板</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块</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1786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1786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沉砂池</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个</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防尘网</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1316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1316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附属设施区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118</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沉砂池</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个</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防尘网</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m</w:t>
            </w:r>
            <w:r>
              <w:rPr>
                <w:rFonts w:hint="default" w:ascii="Times New Roman" w:hAnsi="Times New Roman" w:cs="Times New Roman"/>
                <w:color w:val="auto"/>
                <w:kern w:val="2"/>
                <w:sz w:val="21"/>
                <w:szCs w:val="21"/>
                <w:highlight w:val="none"/>
                <w:vertAlign w:val="superscript"/>
                <w:lang w:val="en-US" w:eastAsia="zh-CN" w:bidi="ar-SA"/>
              </w:rPr>
              <w:t>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390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390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弃渣回填区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151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151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取土场区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324</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324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356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施工便道区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100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挡土板</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块</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铺撒碎石子</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施工生产生活区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268</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268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沉砂池</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个</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铺撒碎石子</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防尘网</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1637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1637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临时堆土区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239</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沉砂池</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个</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铺撒碎石子</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防尘网</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1637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1637</w:t>
            </w:r>
          </w:p>
        </w:tc>
      </w:tr>
    </w:tbl>
    <w:p>
      <w:pPr>
        <w:rPr>
          <w:rFonts w:hint="default" w:ascii="Times New Roman" w:hAnsi="Times New Roman" w:cs="Times New Roman"/>
          <w:color w:val="auto"/>
          <w:highlight w:val="none"/>
          <w:lang w:val="en-US" w:eastAsia="zh-CN"/>
        </w:rPr>
      </w:pPr>
    </w:p>
    <w:p>
      <w:pPr>
        <w:pStyle w:val="18"/>
        <w:rPr>
          <w:rFonts w:hint="default" w:ascii="Times New Roman" w:hAnsi="Times New Roman" w:cs="Times New Roman"/>
          <w:color w:val="auto"/>
          <w:highlight w:val="none"/>
          <w:lang w:val="en-US" w:eastAsia="zh-CN"/>
        </w:rPr>
        <w:sectPr>
          <w:headerReference r:id="rId14" w:type="default"/>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bidi w:val="0"/>
        <w:rPr>
          <w:rFonts w:hint="default" w:ascii="Times New Roman" w:hAnsi="Times New Roman" w:eastAsia="仿宋" w:cs="Times New Roman"/>
          <w:color w:val="auto"/>
          <w:szCs w:val="24"/>
          <w:highlight w:val="none"/>
        </w:rPr>
      </w:pPr>
      <w:bookmarkStart w:id="179" w:name="_Toc16564"/>
      <w:r>
        <w:rPr>
          <w:rFonts w:hint="default" w:ascii="Times New Roman" w:hAnsi="Times New Roman" w:cs="Times New Roman"/>
          <w:color w:val="auto"/>
          <w:highlight w:val="none"/>
          <w:lang w:val="en-US" w:eastAsia="zh-CN"/>
        </w:rPr>
        <w:t>6 存在问题及解决措施</w:t>
      </w:r>
      <w:bookmarkEnd w:id="168"/>
      <w:bookmarkEnd w:id="169"/>
      <w:bookmarkEnd w:id="170"/>
      <w:bookmarkEnd w:id="171"/>
      <w:bookmarkEnd w:id="172"/>
      <w:bookmarkEnd w:id="173"/>
      <w:bookmarkEnd w:id="179"/>
    </w:p>
    <w:p>
      <w:pPr>
        <w:keepNext w:val="0"/>
        <w:keepLines w:val="0"/>
        <w:pageBreakBefore w:val="0"/>
        <w:widowControl w:val="0"/>
        <w:numPr>
          <w:ilvl w:val="0"/>
          <w:numId w:val="8"/>
        </w:numPr>
        <w:kinsoku/>
        <w:wordWrap/>
        <w:overflowPunct/>
        <w:topLinePunct w:val="0"/>
        <w:autoSpaceDE/>
        <w:autoSpaceDN/>
        <w:bidi w:val="0"/>
        <w:adjustRightInd/>
        <w:snapToGrid/>
        <w:spacing w:line="360" w:lineRule="auto"/>
        <w:ind w:leftChars="0" w:firstLine="480" w:firstLineChars="200"/>
        <w:jc w:val="both"/>
        <w:textAlignment w:val="auto"/>
        <w:outlineLvl w:val="1"/>
        <w:rPr>
          <w:rFonts w:hint="default" w:ascii="Times New Roman" w:hAnsi="Times New Roman" w:eastAsia="仿宋" w:cs="Times New Roman"/>
          <w:color w:val="auto"/>
          <w:sz w:val="24"/>
          <w:szCs w:val="24"/>
          <w:highlight w:val="none"/>
        </w:rPr>
      </w:pPr>
      <w:bookmarkStart w:id="180" w:name="_Toc30685"/>
      <w:bookmarkStart w:id="181" w:name="_Toc386"/>
      <w:bookmarkStart w:id="182" w:name="_Toc23032"/>
      <w:bookmarkStart w:id="183" w:name="_Toc19670"/>
      <w:bookmarkStart w:id="184" w:name="_Toc23540"/>
      <w:bookmarkStart w:id="185" w:name="_Toc16597"/>
      <w:bookmarkStart w:id="186" w:name="_Toc12015"/>
      <w:r>
        <w:rPr>
          <w:rFonts w:hint="default" w:ascii="Times New Roman" w:hAnsi="Times New Roman" w:eastAsia="仿宋" w:cs="Times New Roman"/>
          <w:color w:val="auto"/>
          <w:sz w:val="24"/>
          <w:szCs w:val="24"/>
          <w:highlight w:val="none"/>
        </w:rPr>
        <w:t>部分施工区域地表裸露</w:t>
      </w:r>
      <w:bookmarkEnd w:id="180"/>
      <w:bookmarkEnd w:id="181"/>
      <w:bookmarkEnd w:id="182"/>
      <w:bookmarkEnd w:id="183"/>
      <w:bookmarkEnd w:id="184"/>
      <w:bookmarkEnd w:id="185"/>
      <w:bookmarkEnd w:id="186"/>
    </w:p>
    <w:p>
      <w:pPr>
        <w:keepNext w:val="0"/>
        <w:keepLines w:val="0"/>
        <w:pageBreakBefore w:val="0"/>
        <w:widowControl w:val="0"/>
        <w:numPr>
          <w:ilvl w:val="0"/>
          <w:numId w:val="9"/>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存在问题：部分施工区裸露地表较多，在降雨作用下极易产生水土流失。</w:t>
      </w:r>
    </w:p>
    <w:p>
      <w:pPr>
        <w:pStyle w:val="4"/>
        <w:keepNext/>
        <w:keepLines/>
        <w:pageBreakBefore w:val="0"/>
        <w:widowControl w:val="0"/>
        <w:kinsoku/>
        <w:wordWrap/>
        <w:overflowPunct/>
        <w:topLinePunct w:val="0"/>
        <w:autoSpaceDE/>
        <w:autoSpaceDN/>
        <w:bidi w:val="0"/>
        <w:adjustRightInd/>
        <w:snapToGrid/>
        <w:spacing w:before="0" w:after="0" w:line="360" w:lineRule="auto"/>
        <w:ind w:right="0"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lang w:val="en-US" w:eastAsia="zh-CN"/>
        </w:rPr>
        <w:t>2、</w:t>
      </w:r>
      <w:r>
        <w:rPr>
          <w:rFonts w:hint="default" w:ascii="Times New Roman" w:hAnsi="Times New Roman" w:eastAsia="仿宋" w:cs="Times New Roman"/>
          <w:color w:val="auto"/>
          <w:sz w:val="24"/>
          <w:szCs w:val="24"/>
          <w:highlight w:val="none"/>
        </w:rPr>
        <w:t>建议措施：</w:t>
      </w:r>
      <w:r>
        <w:rPr>
          <w:rFonts w:hint="default" w:ascii="Times New Roman" w:hAnsi="Times New Roman" w:eastAsia="仿宋" w:cs="Times New Roman"/>
          <w:color w:val="auto"/>
          <w:spacing w:val="2"/>
          <w:sz w:val="24"/>
          <w:szCs w:val="24"/>
          <w:highlight w:val="none"/>
        </w:rPr>
        <w:t>1）</w:t>
      </w:r>
      <w:r>
        <w:rPr>
          <w:rFonts w:hint="default" w:ascii="Times New Roman" w:hAnsi="Times New Roman" w:eastAsia="仿宋" w:cs="Times New Roman"/>
          <w:color w:val="auto"/>
          <w:sz w:val="24"/>
          <w:szCs w:val="24"/>
          <w:highlight w:val="none"/>
        </w:rPr>
        <w:t>若施工区域还需要扰动，建议增加施工过程中临时</w:t>
      </w:r>
      <w:r>
        <w:rPr>
          <w:rFonts w:hint="default" w:ascii="Times New Roman" w:hAnsi="Times New Roman" w:eastAsia="仿宋" w:cs="Times New Roman"/>
          <w:color w:val="auto"/>
          <w:spacing w:val="-2"/>
          <w:sz w:val="24"/>
          <w:szCs w:val="24"/>
          <w:highlight w:val="none"/>
        </w:rPr>
        <w:t>覆盖措施；</w:t>
      </w:r>
      <w:r>
        <w:rPr>
          <w:rFonts w:hint="default" w:ascii="Times New Roman" w:hAnsi="Times New Roman" w:eastAsia="仿宋" w:cs="Times New Roman"/>
          <w:color w:val="auto"/>
          <w:spacing w:val="-9"/>
          <w:sz w:val="24"/>
          <w:szCs w:val="24"/>
          <w:highlight w:val="none"/>
        </w:rPr>
        <w:t>2）</w:t>
      </w:r>
      <w:r>
        <w:rPr>
          <w:rFonts w:hint="default" w:ascii="Times New Roman" w:hAnsi="Times New Roman" w:eastAsia="仿宋" w:cs="Times New Roman"/>
          <w:color w:val="auto"/>
          <w:spacing w:val="-4"/>
          <w:sz w:val="24"/>
          <w:szCs w:val="24"/>
          <w:highlight w:val="none"/>
        </w:rPr>
        <w:t>若施工区域达到设计标高，不再扰动，建议补植补种，提高植草成活率和草地覆盖度；加强植物措施的后期管护。</w:t>
      </w:r>
    </w:p>
    <w:p>
      <w:pPr>
        <w:pStyle w:val="4"/>
        <w:keepNext/>
        <w:keepLines/>
        <w:pageBreakBefore w:val="0"/>
        <w:widowControl w:val="0"/>
        <w:kinsoku/>
        <w:wordWrap/>
        <w:overflowPunct/>
        <w:topLinePunct w:val="0"/>
        <w:autoSpaceDE/>
        <w:autoSpaceDN/>
        <w:bidi w:val="0"/>
        <w:adjustRightInd/>
        <w:snapToGrid/>
        <w:spacing w:before="0" w:after="0" w:line="360" w:lineRule="auto"/>
        <w:textAlignment w:val="auto"/>
        <w:outlineLvl w:val="1"/>
        <w:rPr>
          <w:rFonts w:hint="default" w:ascii="Times New Roman" w:hAnsi="Times New Roman" w:eastAsia="仿宋" w:cs="Times New Roman"/>
          <w:color w:val="auto"/>
          <w:sz w:val="24"/>
          <w:szCs w:val="24"/>
          <w:highlight w:val="none"/>
        </w:rPr>
      </w:pPr>
      <w:bookmarkStart w:id="187" w:name="_Toc7530"/>
      <w:bookmarkStart w:id="188" w:name="_Toc22974"/>
      <w:bookmarkStart w:id="189" w:name="_Toc26211"/>
      <w:bookmarkStart w:id="190" w:name="_Toc10482"/>
      <w:bookmarkStart w:id="191" w:name="_Toc18072"/>
      <w:bookmarkStart w:id="192" w:name="_Toc16343"/>
      <w:bookmarkStart w:id="193" w:name="_Toc24984"/>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lang w:val="en-US" w:eastAsia="zh-CN"/>
        </w:rPr>
        <w:t>二</w:t>
      </w:r>
      <w:r>
        <w:rPr>
          <w:rFonts w:hint="default" w:ascii="Times New Roman" w:hAnsi="Times New Roman" w:eastAsia="仿宋"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施工现场临时覆盖</w:t>
      </w:r>
      <w:bookmarkEnd w:id="187"/>
      <w:bookmarkEnd w:id="188"/>
      <w:bookmarkEnd w:id="189"/>
      <w:bookmarkEnd w:id="190"/>
      <w:bookmarkEnd w:id="191"/>
      <w:bookmarkEnd w:id="192"/>
      <w:bookmarkEnd w:id="193"/>
    </w:p>
    <w:p>
      <w:pPr>
        <w:pStyle w:val="4"/>
        <w:keepNext/>
        <w:keepLines/>
        <w:pageBreakBefore w:val="0"/>
        <w:widowControl w:val="0"/>
        <w:kinsoku/>
        <w:wordWrap/>
        <w:overflowPunct/>
        <w:topLinePunct w:val="0"/>
        <w:autoSpaceDE/>
        <w:autoSpaceDN/>
        <w:bidi w:val="0"/>
        <w:adjustRightInd/>
        <w:snapToGrid/>
        <w:spacing w:before="0" w:after="0" w:line="360" w:lineRule="auto"/>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1、存在问题：目前在进行的施工现场，存在有开挖面裸露现象。</w:t>
      </w:r>
    </w:p>
    <w:p>
      <w:pPr>
        <w:pStyle w:val="4"/>
        <w:keepNext/>
        <w:keepLines/>
        <w:pageBreakBefore w:val="0"/>
        <w:widowControl w:val="0"/>
        <w:kinsoku/>
        <w:wordWrap/>
        <w:overflowPunct/>
        <w:topLinePunct w:val="0"/>
        <w:autoSpaceDE/>
        <w:autoSpaceDN/>
        <w:bidi w:val="0"/>
        <w:adjustRightInd/>
        <w:snapToGrid/>
        <w:spacing w:before="0" w:after="0" w:line="360" w:lineRule="auto"/>
        <w:ind w:right="0" w:firstLine="480" w:firstLineChars="200"/>
        <w:jc w:val="both"/>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2、建议措施：对开挖面及时采取临时覆盖，理顺施工场内排水体系， 场地内增设临时排水沟和沉砂池；排水沟出口处布设多级沉砂池或大型沉砂池。</w:t>
      </w:r>
    </w:p>
    <w:p>
      <w:pPr>
        <w:outlineLvl w:val="0"/>
        <w:rPr>
          <w:rFonts w:hint="default" w:ascii="Times New Roman" w:hAnsi="Times New Roman" w:cs="Times New Roman"/>
          <w:b/>
          <w:bCs/>
          <w:color w:val="auto"/>
          <w:sz w:val="30"/>
          <w:szCs w:val="30"/>
          <w:highlight w:val="none"/>
          <w:lang w:val="en-US" w:eastAsia="zh-CN"/>
        </w:rPr>
      </w:pPr>
      <w:bookmarkStart w:id="194" w:name="_Toc25066"/>
      <w:bookmarkStart w:id="195" w:name="_Toc22470"/>
      <w:bookmarkStart w:id="196" w:name="_Toc19229"/>
      <w:bookmarkStart w:id="197" w:name="_Toc13141"/>
      <w:bookmarkStart w:id="198" w:name="_Toc14038"/>
      <w:bookmarkStart w:id="199" w:name="_Toc30622"/>
      <w:bookmarkStart w:id="200" w:name="_Toc13277"/>
      <w:r>
        <w:rPr>
          <w:rFonts w:hint="default" w:ascii="Times New Roman" w:hAnsi="Times New Roman" w:cs="Times New Roman"/>
          <w:b/>
          <w:bCs/>
          <w:color w:val="auto"/>
          <w:sz w:val="30"/>
          <w:szCs w:val="30"/>
          <w:highlight w:val="none"/>
          <w:lang w:val="en-US" w:eastAsia="zh-CN"/>
        </w:rPr>
        <w:t>7 总结</w:t>
      </w:r>
      <w:bookmarkEnd w:id="194"/>
      <w:bookmarkEnd w:id="195"/>
      <w:bookmarkEnd w:id="196"/>
      <w:bookmarkEnd w:id="197"/>
      <w:bookmarkEnd w:id="198"/>
      <w:bookmarkEnd w:id="199"/>
      <w:bookmarkEnd w:id="20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过现场勘查，目前工程建设还处在施工初期阶段，扰动地表面积大部分还在施工过程中，还无法对开挖扰动地表进行整治及恢复；部分区域施工单位认真落实了开挖扰动地表、裸露地表和临时堆土区的水土保持工程措施、临时措施与植物措施等各项水土保持措施，但数量不够，还不能满足防治水土流失的要求。项目区即将进入雨季，希望施工单位进一步加强水土保持措施的实施，特别是加强拦挡和沉沙措施布设，以减少工程建设造成的水土流失。</w:t>
      </w:r>
    </w:p>
    <w:p>
      <w:pPr>
        <w:pStyle w:val="4"/>
        <w:keepNext/>
        <w:keepLines/>
        <w:pageBreakBefore w:val="0"/>
        <w:widowControl w:val="0"/>
        <w:kinsoku/>
        <w:wordWrap/>
        <w:overflowPunct/>
        <w:topLinePunct w:val="0"/>
        <w:autoSpaceDE/>
        <w:autoSpaceDN/>
        <w:bidi w:val="0"/>
        <w:adjustRightInd/>
        <w:snapToGrid/>
        <w:spacing w:before="0" w:after="0" w:line="360" w:lineRule="auto"/>
        <w:ind w:right="0" w:firstLine="480" w:firstLineChars="200"/>
        <w:jc w:val="both"/>
        <w:textAlignment w:val="auto"/>
        <w:rPr>
          <w:rFonts w:hint="default" w:ascii="Times New Roman" w:hAnsi="Times New Roman" w:eastAsia="仿宋" w:cs="Times New Roman"/>
          <w:color w:val="auto"/>
          <w:highlight w:val="none"/>
          <w:lang w:val="en-US" w:eastAsia="zh-CN"/>
        </w:rPr>
      </w:pPr>
      <w:r>
        <w:rPr>
          <w:rFonts w:hint="default" w:ascii="Times New Roman" w:hAnsi="Times New Roman" w:eastAsia="仿宋" w:cs="Times New Roman"/>
          <w:color w:val="auto"/>
          <w:sz w:val="24"/>
          <w:szCs w:val="24"/>
          <w:highlight w:val="none"/>
        </w:rPr>
        <w:t>监测过程中发现施工过程中存在不足的问题，已及时向建设单位和施工单位反馈并提出了具体解决方案，希望施工方积极配合整改，根据主体施工进度，及时跟进水土流失防治措施。</w:t>
      </w:r>
    </w:p>
    <w:p>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pPr>
        <w:bidi w:val="0"/>
        <w:jc w:val="center"/>
        <w:rPr>
          <w:rFonts w:hint="default" w:ascii="Times New Roman" w:hAnsi="Times New Roman" w:cs="Times New Roman"/>
          <w:color w:val="auto"/>
          <w:sz w:val="32"/>
          <w:szCs w:val="32"/>
          <w:highlight w:val="none"/>
          <w:lang w:val="en-US" w:eastAsia="zh-CN"/>
        </w:rPr>
      </w:pPr>
      <w:r>
        <w:rPr>
          <w:rFonts w:hint="default" w:ascii="Times New Roman" w:hAnsi="Times New Roman" w:eastAsia="宋体" w:cs="Times New Roman"/>
          <w:b/>
          <w:bCs/>
          <w:color w:val="auto"/>
          <w:sz w:val="28"/>
          <w:szCs w:val="28"/>
          <w:highlight w:val="none"/>
          <w:lang w:val="en-US" w:eastAsia="zh-CN"/>
        </w:rPr>
        <w:t>华天路新建工程项目</w:t>
      </w:r>
    </w:p>
    <w:p>
      <w:pPr>
        <w:bidi w:val="0"/>
        <w:jc w:val="center"/>
        <w:rPr>
          <w:rFonts w:hint="default" w:ascii="Times New Roman" w:hAnsi="Times New Roman" w:eastAsia="黑体" w:cs="Times New Roman"/>
          <w:color w:val="auto"/>
          <w:sz w:val="72"/>
          <w:szCs w:val="72"/>
          <w:highlight w:val="none"/>
          <w:lang w:val="en-US" w:eastAsia="zh-CN"/>
        </w:rPr>
      </w:pPr>
      <w:r>
        <w:rPr>
          <w:rFonts w:hint="default" w:ascii="Times New Roman" w:hAnsi="Times New Roman" w:eastAsia="黑体" w:cs="Times New Roman"/>
          <w:color w:val="auto"/>
          <w:sz w:val="72"/>
          <w:szCs w:val="72"/>
          <w:highlight w:val="none"/>
          <w:lang w:val="en-US" w:eastAsia="zh-CN"/>
        </w:rPr>
        <w:t>水土保持监测总结报告</w:t>
      </w: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spacing w:line="360" w:lineRule="auto"/>
        <w:ind w:firstLine="1280" w:firstLineChars="400"/>
        <w:jc w:val="both"/>
        <w:rPr>
          <w:rFonts w:hint="default" w:ascii="Times New Roman" w:hAnsi="Times New Roman" w:eastAsia="宋体" w:cs="Times New Roman"/>
          <w:color w:val="auto"/>
          <w:sz w:val="32"/>
          <w:szCs w:val="32"/>
          <w:highlight w:val="none"/>
          <w:lang w:val="en-US" w:eastAsia="zh-CN"/>
        </w:rPr>
      </w:pPr>
      <w:r>
        <w:rPr>
          <w:rFonts w:hint="default" w:ascii="Times New Roman" w:hAnsi="Times New Roman" w:eastAsia="宋体" w:cs="Times New Roman"/>
          <w:color w:val="auto"/>
          <w:sz w:val="32"/>
          <w:szCs w:val="32"/>
          <w:highlight w:val="none"/>
          <w:lang w:val="en-US" w:eastAsia="zh-CN"/>
        </w:rPr>
        <w:t>建设单位：衡阳市城市建设投资有限公司</w:t>
      </w:r>
    </w:p>
    <w:p>
      <w:pPr>
        <w:bidi w:val="0"/>
        <w:spacing w:line="360" w:lineRule="auto"/>
        <w:ind w:firstLine="1280" w:firstLineChars="400"/>
        <w:jc w:val="both"/>
        <w:rPr>
          <w:rFonts w:hint="default" w:ascii="Times New Roman" w:hAnsi="Times New Roman" w:eastAsia="宋体" w:cs="Times New Roman"/>
          <w:color w:val="auto"/>
          <w:sz w:val="32"/>
          <w:szCs w:val="32"/>
          <w:highlight w:val="none"/>
          <w:lang w:val="en-US" w:eastAsia="zh-CN"/>
        </w:rPr>
      </w:pPr>
      <w:r>
        <w:rPr>
          <w:rFonts w:hint="default" w:ascii="Times New Roman" w:hAnsi="Times New Roman" w:eastAsia="宋体" w:cs="Times New Roman"/>
          <w:color w:val="auto"/>
          <w:sz w:val="32"/>
          <w:szCs w:val="32"/>
          <w:highlight w:val="none"/>
          <w:lang w:val="en-US" w:eastAsia="zh-CN"/>
        </w:rPr>
        <w:t>监测单位：湖南华意项目管理有限公司</w:t>
      </w:r>
    </w:p>
    <w:p>
      <w:pPr>
        <w:bidi w:val="0"/>
        <w:spacing w:line="360" w:lineRule="auto"/>
        <w:jc w:val="both"/>
        <w:rPr>
          <w:rFonts w:hint="default" w:ascii="Times New Roman" w:hAnsi="Times New Roman" w:eastAsia="宋体" w:cs="Times New Roman"/>
          <w:color w:val="auto"/>
          <w:sz w:val="32"/>
          <w:szCs w:val="32"/>
          <w:highlight w:val="none"/>
          <w:lang w:val="en-US" w:eastAsia="zh-CN"/>
        </w:rPr>
      </w:pPr>
    </w:p>
    <w:p>
      <w:pPr>
        <w:bidi w:val="0"/>
        <w:spacing w:line="360" w:lineRule="auto"/>
        <w:jc w:val="both"/>
        <w:rPr>
          <w:rFonts w:hint="default" w:ascii="Times New Roman" w:hAnsi="Times New Roman" w:eastAsia="宋体" w:cs="Times New Roman"/>
          <w:color w:val="auto"/>
          <w:sz w:val="32"/>
          <w:szCs w:val="32"/>
          <w:highlight w:val="none"/>
          <w:lang w:val="en-US" w:eastAsia="zh-CN"/>
        </w:rPr>
      </w:pPr>
    </w:p>
    <w:p>
      <w:pPr>
        <w:bidi w:val="0"/>
        <w:spacing w:line="360" w:lineRule="auto"/>
        <w:jc w:val="center"/>
        <w:rPr>
          <w:rFonts w:hint="default" w:ascii="Times New Roman" w:hAnsi="Times New Roman" w:eastAsia="宋体" w:cs="Times New Roman"/>
          <w:color w:val="auto"/>
          <w:sz w:val="32"/>
          <w:szCs w:val="32"/>
          <w:highlight w:val="none"/>
          <w:lang w:val="en-US" w:eastAsia="zh-CN"/>
        </w:rPr>
        <w:sectPr>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color w:val="auto"/>
          <w:sz w:val="32"/>
          <w:szCs w:val="32"/>
          <w:highlight w:val="none"/>
          <w:lang w:val="en-US" w:eastAsia="zh-CN"/>
        </w:rPr>
        <w:t>2021年12月</w:t>
      </w:r>
    </w:p>
    <w:p>
      <w:pPr>
        <w:pStyle w:val="2"/>
        <w:bidi w:val="0"/>
        <w:spacing w:line="360" w:lineRule="auto"/>
        <w:jc w:val="center"/>
        <w:outlineLvl w:val="9"/>
        <w:rPr>
          <w:rFonts w:hint="default" w:ascii="Times New Roman" w:hAnsi="Times New Roman" w:cs="Times New Roman"/>
          <w:color w:val="auto"/>
          <w:sz w:val="32"/>
          <w:szCs w:val="32"/>
          <w:highlight w:val="none"/>
          <w:lang w:val="en-US" w:eastAsia="zh-CN"/>
        </w:rPr>
      </w:pPr>
    </w:p>
    <w:p>
      <w:pPr>
        <w:pStyle w:val="2"/>
        <w:bidi w:val="0"/>
        <w:spacing w:line="240" w:lineRule="auto"/>
        <w:jc w:val="center"/>
        <w:rPr>
          <w:rFonts w:hint="default" w:ascii="Times New Roman" w:hAnsi="Times New Roman" w:cs="Times New Roman"/>
          <w:color w:val="auto"/>
          <w:sz w:val="32"/>
          <w:szCs w:val="32"/>
          <w:highlight w:val="none"/>
          <w:lang w:val="en-US" w:eastAsia="zh-CN"/>
        </w:rPr>
      </w:pPr>
      <w:bookmarkStart w:id="201" w:name="_Toc23750"/>
      <w:r>
        <w:rPr>
          <w:rFonts w:hint="default" w:ascii="Times New Roman" w:hAnsi="Times New Roman" w:cs="Times New Roman"/>
          <w:color w:val="auto"/>
          <w:sz w:val="32"/>
          <w:szCs w:val="32"/>
          <w:highlight w:val="none"/>
          <w:lang w:val="en-US" w:eastAsia="zh-CN"/>
        </w:rPr>
        <w:t>华天路新建工程项目水土保持监测</w:t>
      </w:r>
      <w:bookmarkEnd w:id="201"/>
    </w:p>
    <w:p>
      <w:pPr>
        <w:pStyle w:val="2"/>
        <w:bidi w:val="0"/>
        <w:spacing w:line="240" w:lineRule="auto"/>
        <w:jc w:val="center"/>
        <w:rPr>
          <w:rFonts w:hint="default" w:ascii="Times New Roman" w:hAnsi="Times New Roman" w:cs="Times New Roman"/>
          <w:color w:val="auto"/>
          <w:sz w:val="32"/>
          <w:szCs w:val="32"/>
          <w:highlight w:val="none"/>
          <w:lang w:val="en-US" w:eastAsia="zh-CN"/>
        </w:rPr>
      </w:pPr>
      <w:bookmarkStart w:id="202" w:name="_Toc14549"/>
      <w:r>
        <w:rPr>
          <w:rFonts w:hint="default" w:ascii="Times New Roman" w:hAnsi="Times New Roman" w:cs="Times New Roman"/>
          <w:color w:val="auto"/>
          <w:sz w:val="32"/>
          <w:szCs w:val="32"/>
          <w:highlight w:val="none"/>
          <w:lang w:val="en-US" w:eastAsia="zh-CN"/>
        </w:rPr>
        <w:t>责任页</w:t>
      </w:r>
      <w:bookmarkEnd w:id="202"/>
    </w:p>
    <w:p>
      <w:pPr>
        <w:jc w:val="center"/>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（湖南华意项目管理有限公司）</w:t>
      </w:r>
    </w:p>
    <w:p>
      <w:pPr>
        <w:jc w:val="both"/>
        <w:rPr>
          <w:rFonts w:hint="default" w:ascii="Times New Roman" w:hAnsi="Times New Roman" w:cs="Times New Roman"/>
          <w:color w:val="auto"/>
          <w:sz w:val="32"/>
          <w:szCs w:val="32"/>
          <w:highlight w:val="none"/>
          <w:lang w:val="en-US" w:eastAsia="zh-CN"/>
        </w:rPr>
      </w:pPr>
    </w:p>
    <w:p>
      <w:pPr>
        <w:jc w:val="both"/>
        <w:rPr>
          <w:rFonts w:hint="default" w:ascii="Times New Roman" w:hAnsi="Times New Roman" w:cs="Times New Roman"/>
          <w:color w:val="auto"/>
          <w:sz w:val="32"/>
          <w:szCs w:val="32"/>
          <w:highlight w:val="none"/>
          <w:lang w:val="en-US" w:eastAsia="zh-CN"/>
        </w:rPr>
      </w:pPr>
    </w:p>
    <w:p>
      <w:pPr>
        <w:jc w:val="both"/>
        <w:rPr>
          <w:rFonts w:hint="default" w:ascii="Times New Roman" w:hAnsi="Times New Roman" w:cs="Times New Roman"/>
          <w:color w:val="auto"/>
          <w:sz w:val="32"/>
          <w:szCs w:val="32"/>
          <w:highlight w:val="none"/>
          <w:lang w:val="en-US" w:eastAsia="zh-CN"/>
        </w:rPr>
      </w:pPr>
    </w:p>
    <w:p>
      <w:pPr>
        <w:jc w:val="both"/>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批准：</w:t>
      </w:r>
      <w:r>
        <w:rPr>
          <w:rFonts w:hint="default" w:ascii="Times New Roman" w:hAnsi="Times New Roman" w:cs="Times New Roman"/>
          <w:color w:val="auto"/>
          <w:sz w:val="32"/>
          <w:szCs w:val="32"/>
          <w:highlight w:val="none"/>
          <w:lang w:val="en-US" w:eastAsia="zh-CN"/>
        </w:rPr>
        <w:drawing>
          <wp:inline distT="0" distB="0" distL="114300" distR="114300">
            <wp:extent cx="603885" cy="220345"/>
            <wp:effectExtent l="0" t="0" r="5715" b="8255"/>
            <wp:docPr id="14" name="图片 14" descr="莫俊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descr="莫俊华"/>
                    <pic:cNvPicPr>
                      <a:picLocks noChangeAspect="1"/>
                    </pic:cNvPicPr>
                  </pic:nvPicPr>
                  <pic:blipFill>
                    <a:blip r:embed="rId36"/>
                    <a:stretch>
                      <a:fillRect/>
                    </a:stretch>
                  </pic:blipFill>
                  <pic:spPr>
                    <a:xfrm>
                      <a:off x="0" y="0"/>
                      <a:ext cx="603885" cy="220345"/>
                    </a:xfrm>
                    <a:prstGeom prst="rect">
                      <a:avLst/>
                    </a:prstGeom>
                  </pic:spPr>
                </pic:pic>
              </a:graphicData>
            </a:graphic>
          </wp:inline>
        </w:drawing>
      </w:r>
    </w:p>
    <w:p>
      <w:pPr>
        <w:jc w:val="both"/>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审查：</w:t>
      </w:r>
      <w:r>
        <w:rPr>
          <w:rFonts w:hint="default" w:ascii="Times New Roman" w:hAnsi="Times New Roman" w:cs="Times New Roman"/>
          <w:color w:val="auto"/>
          <w:sz w:val="32"/>
          <w:szCs w:val="32"/>
          <w:highlight w:val="none"/>
          <w:lang w:val="en-US" w:eastAsia="zh-CN"/>
        </w:rPr>
        <w:drawing>
          <wp:inline distT="0" distB="0" distL="114300" distR="114300">
            <wp:extent cx="570230" cy="247650"/>
            <wp:effectExtent l="0" t="0" r="1270" b="0"/>
            <wp:docPr id="15" name="图片 15" descr="秦佳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秦佳伟"/>
                    <pic:cNvPicPr>
                      <a:picLocks noChangeAspect="1"/>
                    </pic:cNvPicPr>
                  </pic:nvPicPr>
                  <pic:blipFill>
                    <a:blip r:embed="rId37"/>
                    <a:stretch>
                      <a:fillRect/>
                    </a:stretch>
                  </pic:blipFill>
                  <pic:spPr>
                    <a:xfrm>
                      <a:off x="0" y="0"/>
                      <a:ext cx="570230" cy="247650"/>
                    </a:xfrm>
                    <a:prstGeom prst="rect">
                      <a:avLst/>
                    </a:prstGeom>
                  </pic:spPr>
                </pic:pic>
              </a:graphicData>
            </a:graphic>
          </wp:inline>
        </w:drawing>
      </w:r>
    </w:p>
    <w:p>
      <w:pPr>
        <w:jc w:val="both"/>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校核：</w:t>
      </w:r>
      <w:r>
        <w:rPr>
          <w:rFonts w:hint="default" w:ascii="Times New Roman" w:hAnsi="Times New Roman" w:cs="Times New Roman"/>
          <w:color w:val="auto"/>
          <w:sz w:val="32"/>
          <w:szCs w:val="32"/>
          <w:highlight w:val="none"/>
          <w:lang w:val="en-US" w:eastAsia="zh-CN"/>
        </w:rPr>
        <w:drawing>
          <wp:inline distT="0" distB="0" distL="114300" distR="114300">
            <wp:extent cx="557530" cy="278765"/>
            <wp:effectExtent l="0" t="0" r="13970" b="6985"/>
            <wp:docPr id="16" name="图片 16" descr="阳衡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阳衡辉"/>
                    <pic:cNvPicPr>
                      <a:picLocks noChangeAspect="1"/>
                    </pic:cNvPicPr>
                  </pic:nvPicPr>
                  <pic:blipFill>
                    <a:blip r:embed="rId38"/>
                    <a:stretch>
                      <a:fillRect/>
                    </a:stretch>
                  </pic:blipFill>
                  <pic:spPr>
                    <a:xfrm>
                      <a:off x="0" y="0"/>
                      <a:ext cx="557530" cy="278765"/>
                    </a:xfrm>
                    <a:prstGeom prst="rect">
                      <a:avLst/>
                    </a:prstGeom>
                  </pic:spPr>
                </pic:pic>
              </a:graphicData>
            </a:graphic>
          </wp:inline>
        </w:drawing>
      </w:r>
    </w:p>
    <w:p>
      <w:pPr>
        <w:jc w:val="both"/>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项目负责人：</w:t>
      </w:r>
      <w:r>
        <w:rPr>
          <w:rFonts w:hint="default" w:ascii="Times New Roman" w:hAnsi="Times New Roman" w:cs="Times New Roman"/>
          <w:color w:val="auto"/>
          <w:sz w:val="32"/>
          <w:szCs w:val="32"/>
          <w:highlight w:val="none"/>
          <w:lang w:val="en-US" w:eastAsia="zh-CN"/>
        </w:rPr>
        <w:drawing>
          <wp:inline distT="0" distB="0" distL="114300" distR="114300">
            <wp:extent cx="619760" cy="265430"/>
            <wp:effectExtent l="0" t="0" r="8890" b="1270"/>
            <wp:docPr id="37" name="图片 37" descr="尹靖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7" name="图片 37" descr="尹靖雯"/>
                    <pic:cNvPicPr>
                      <a:picLocks noChangeAspect="1"/>
                    </pic:cNvPicPr>
                  </pic:nvPicPr>
                  <pic:blipFill>
                    <a:blip r:embed="rId39"/>
                    <a:stretch>
                      <a:fillRect/>
                    </a:stretch>
                  </pic:blipFill>
                  <pic:spPr>
                    <a:xfrm>
                      <a:off x="0" y="0"/>
                      <a:ext cx="619760" cy="265430"/>
                    </a:xfrm>
                    <a:prstGeom prst="rect">
                      <a:avLst/>
                    </a:prstGeom>
                  </pic:spPr>
                </pic:pic>
              </a:graphicData>
            </a:graphic>
          </wp:inline>
        </w:drawing>
      </w:r>
    </w:p>
    <w:p>
      <w:pPr>
        <w:jc w:val="both"/>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编写：</w:t>
      </w:r>
    </w:p>
    <w:p>
      <w:pPr>
        <w:pStyle w:val="18"/>
        <w:rPr>
          <w:rFonts w:hint="default"/>
          <w:color w:val="auto"/>
          <w:highlight w:val="none"/>
          <w:lang w:val="en-US" w:eastAsia="zh-CN"/>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cs="Times New Roman"/>
                <w:color w:val="auto"/>
                <w:sz w:val="32"/>
                <w:szCs w:val="32"/>
                <w:highlight w:val="none"/>
                <w:vertAlign w:val="baseline"/>
                <w:lang w:val="en-US" w:eastAsia="zh-CN"/>
              </w:rPr>
              <w:t>姓名</w:t>
            </w:r>
          </w:p>
        </w:tc>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cs="Times New Roman"/>
                <w:color w:val="auto"/>
                <w:sz w:val="32"/>
                <w:szCs w:val="32"/>
                <w:highlight w:val="none"/>
                <w:vertAlign w:val="baseline"/>
                <w:lang w:val="en-US" w:eastAsia="zh-CN"/>
              </w:rPr>
              <w:t>职称</w:t>
            </w: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cs="Times New Roman"/>
                <w:color w:val="auto"/>
                <w:sz w:val="32"/>
                <w:szCs w:val="32"/>
                <w:highlight w:val="none"/>
                <w:vertAlign w:val="baseline"/>
                <w:lang w:val="en-US" w:eastAsia="zh-CN"/>
              </w:rPr>
              <w:t>分工</w:t>
            </w: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cs="Times New Roman"/>
                <w:color w:val="auto"/>
                <w:sz w:val="32"/>
                <w:szCs w:val="32"/>
                <w:highlight w:val="none"/>
                <w:vertAlign w:val="baseline"/>
                <w:lang w:val="en-US" w:eastAsia="zh-CN"/>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eastAsia" w:ascii="Times New Roman" w:hAnsi="Times New Roman" w:cs="Times New Roman"/>
                <w:color w:val="auto"/>
                <w:sz w:val="32"/>
                <w:szCs w:val="32"/>
                <w:highlight w:val="none"/>
                <w:vertAlign w:val="baseline"/>
                <w:lang w:val="en-US" w:eastAsia="zh-CN"/>
              </w:rPr>
              <w:t>马波</w:t>
            </w:r>
          </w:p>
        </w:tc>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eastAsia="仿宋" w:cs="Times New Roman"/>
                <w:color w:val="auto"/>
                <w:sz w:val="32"/>
                <w:szCs w:val="32"/>
                <w:highlight w:val="none"/>
                <w:vertAlign w:val="baseline"/>
                <w:lang w:val="en-US" w:eastAsia="zh-CN"/>
              </w:rPr>
              <w:drawing>
                <wp:inline distT="0" distB="0" distL="114300" distR="114300">
                  <wp:extent cx="583565" cy="299720"/>
                  <wp:effectExtent l="0" t="0" r="6985" b="5080"/>
                  <wp:docPr id="41" name="图片 41" descr="QQ图片20211231082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1" name="图片 41" descr="QQ图片20211231082442"/>
                          <pic:cNvPicPr>
                            <a:picLocks noChangeAspect="1"/>
                          </pic:cNvPicPr>
                        </pic:nvPicPr>
                        <pic:blipFill>
                          <a:blip r:embed="rId48"/>
                          <a:stretch>
                            <a:fillRect/>
                          </a:stretch>
                        </pic:blipFill>
                        <pic:spPr>
                          <a:xfrm>
                            <a:off x="0" y="0"/>
                            <a:ext cx="583565" cy="29972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eastAsia" w:ascii="Times New Roman" w:hAnsi="Times New Roman" w:cs="Times New Roman"/>
                <w:color w:val="auto"/>
                <w:sz w:val="32"/>
                <w:szCs w:val="32"/>
                <w:highlight w:val="none"/>
                <w:vertAlign w:val="baseline"/>
                <w:lang w:val="en-US" w:eastAsia="zh-CN"/>
              </w:rPr>
              <w:t>刘洋铭</w:t>
            </w:r>
          </w:p>
        </w:tc>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eastAsia="仿宋" w:cs="Times New Roman"/>
                <w:color w:val="auto"/>
                <w:sz w:val="32"/>
                <w:szCs w:val="32"/>
                <w:highlight w:val="none"/>
                <w:vertAlign w:val="baseline"/>
                <w:lang w:val="en-US" w:eastAsia="zh-CN"/>
              </w:rPr>
              <w:drawing>
                <wp:inline distT="0" distB="0" distL="114300" distR="114300">
                  <wp:extent cx="678815" cy="333375"/>
                  <wp:effectExtent l="0" t="0" r="6985" b="9525"/>
                  <wp:docPr id="40" name="图片 40" descr="微信图片_2021123108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 name="图片 40" descr="微信图片_20211231083018"/>
                          <pic:cNvPicPr>
                            <a:picLocks noChangeAspect="1"/>
                          </pic:cNvPicPr>
                        </pic:nvPicPr>
                        <pic:blipFill>
                          <a:blip r:embed="rId49"/>
                          <a:stretch>
                            <a:fillRect/>
                          </a:stretch>
                        </pic:blipFill>
                        <pic:spPr>
                          <a:xfrm>
                            <a:off x="0" y="0"/>
                            <a:ext cx="678815" cy="3333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eastAsia" w:ascii="Times New Roman" w:hAnsi="Times New Roman" w:cs="Times New Roman"/>
                <w:color w:val="auto"/>
                <w:sz w:val="32"/>
                <w:szCs w:val="32"/>
                <w:highlight w:val="none"/>
                <w:vertAlign w:val="baseline"/>
                <w:lang w:val="en-US" w:eastAsia="zh-CN"/>
              </w:rPr>
              <w:t>陈治军</w:t>
            </w:r>
          </w:p>
        </w:tc>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eastAsia="仿宋" w:cs="Times New Roman"/>
                <w:color w:val="auto"/>
                <w:sz w:val="32"/>
                <w:szCs w:val="32"/>
                <w:highlight w:val="none"/>
                <w:vertAlign w:val="baseline"/>
                <w:lang w:val="en-US" w:eastAsia="zh-CN"/>
              </w:rPr>
              <w:drawing>
                <wp:inline distT="0" distB="0" distL="114300" distR="114300">
                  <wp:extent cx="960120" cy="329565"/>
                  <wp:effectExtent l="0" t="0" r="11430" b="13335"/>
                  <wp:docPr id="17" name="图片 17" descr="陈治军"/>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图片 17" descr="陈治军"/>
                          <pic:cNvPicPr>
                            <a:picLocks noChangeAspect="1"/>
                          </pic:cNvPicPr>
                        </pic:nvPicPr>
                        <pic:blipFill>
                          <a:blip r:embed="rId42"/>
                          <a:stretch>
                            <a:fillRect/>
                          </a:stretch>
                        </pic:blipFill>
                        <pic:spPr>
                          <a:xfrm>
                            <a:off x="0" y="0"/>
                            <a:ext cx="960120" cy="32956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eastAsia" w:ascii="Times New Roman" w:hAnsi="Times New Roman" w:cs="Times New Roman"/>
                <w:color w:val="auto"/>
                <w:sz w:val="32"/>
                <w:szCs w:val="32"/>
                <w:highlight w:val="none"/>
                <w:vertAlign w:val="baseline"/>
                <w:lang w:val="en-US" w:eastAsia="zh-CN"/>
              </w:rPr>
              <w:t>刘宏志</w:t>
            </w:r>
          </w:p>
        </w:tc>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eastAsia="仿宋" w:cs="Times New Roman"/>
                <w:color w:val="auto"/>
                <w:sz w:val="32"/>
                <w:szCs w:val="32"/>
                <w:highlight w:val="none"/>
                <w:vertAlign w:val="baseline"/>
                <w:lang w:val="en-US" w:eastAsia="zh-CN"/>
              </w:rPr>
              <w:drawing>
                <wp:inline distT="0" distB="0" distL="114300" distR="114300">
                  <wp:extent cx="947420" cy="342265"/>
                  <wp:effectExtent l="0" t="0" r="5080" b="635"/>
                  <wp:docPr id="43" name="图片 43" descr="刘宏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刘宏志"/>
                          <pic:cNvPicPr>
                            <a:picLocks noChangeAspect="1"/>
                          </pic:cNvPicPr>
                        </pic:nvPicPr>
                        <pic:blipFill>
                          <a:blip r:embed="rId50"/>
                          <a:stretch>
                            <a:fillRect/>
                          </a:stretch>
                        </pic:blipFill>
                        <pic:spPr>
                          <a:xfrm>
                            <a:off x="0" y="0"/>
                            <a:ext cx="947420" cy="342265"/>
                          </a:xfrm>
                          <a:prstGeom prst="rect">
                            <a:avLst/>
                          </a:prstGeom>
                        </pic:spPr>
                      </pic:pic>
                    </a:graphicData>
                  </a:graphic>
                </wp:inline>
              </w:drawing>
            </w:r>
          </w:p>
        </w:tc>
      </w:tr>
    </w:tbl>
    <w:p>
      <w:pPr>
        <w:jc w:val="both"/>
        <w:rPr>
          <w:rFonts w:hint="default" w:ascii="Times New Roman" w:hAnsi="Times New Roman" w:cs="Times New Roman"/>
          <w:color w:val="auto"/>
          <w:sz w:val="32"/>
          <w:szCs w:val="32"/>
          <w:highlight w:val="none"/>
          <w:lang w:val="en-US" w:eastAsia="zh-CN"/>
        </w:rPr>
        <w:sectPr>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sdt>
      <w:sdtPr>
        <w:rPr>
          <w:rFonts w:hint="default" w:ascii="Times New Roman" w:hAnsi="Times New Roman" w:eastAsia="宋体" w:cs="Times New Roman"/>
          <w:color w:val="auto"/>
          <w:kern w:val="2"/>
          <w:sz w:val="21"/>
          <w:szCs w:val="24"/>
          <w:highlight w:val="none"/>
          <w:lang w:val="en-US" w:eastAsia="zh-CN" w:bidi="ar-SA"/>
        </w:rPr>
        <w:id w:val="147461785"/>
        <w15:color w:val="DBDBDB"/>
        <w:docPartObj>
          <w:docPartGallery w:val="Table of Contents"/>
          <w:docPartUnique/>
        </w:docPartObj>
      </w:sdtPr>
      <w:sdtEndPr>
        <w:rPr>
          <w:rFonts w:hint="default" w:ascii="Times New Roman" w:hAnsi="Times New Roman" w:eastAsia="黑体" w:cs="Times New Roman"/>
          <w:b/>
          <w:color w:val="auto"/>
          <w:kern w:val="44"/>
          <w:sz w:val="32"/>
          <w:szCs w:val="24"/>
          <w:highlight w:val="none"/>
          <w:lang w:val="en-US" w:eastAsia="zh-CN" w:bidi="ar-SA"/>
        </w:rPr>
      </w:sdtEndPr>
      <w:sdtContent>
        <w:p>
          <w:pPr>
            <w:spacing w:before="0" w:beforeLines="0" w:after="0" w:afterLines="0" w:line="240" w:lineRule="auto"/>
            <w:ind w:left="0" w:leftChars="0" w:right="0" w:rightChars="0" w:firstLine="0" w:firstLineChars="0"/>
            <w:jc w:val="center"/>
            <w:rPr>
              <w:rFonts w:hint="default" w:ascii="Times New Roman" w:hAnsi="Times New Roman" w:cs="Times New Roman"/>
              <w:b/>
              <w:color w:val="auto"/>
              <w:highlight w:val="none"/>
            </w:rPr>
          </w:pPr>
          <w:r>
            <w:rPr>
              <w:rFonts w:hint="default" w:ascii="Times New Roman" w:hAnsi="Times New Roman" w:eastAsia="黑体" w:cs="Times New Roman"/>
              <w:color w:val="auto"/>
              <w:sz w:val="32"/>
              <w:szCs w:val="32"/>
              <w:highlight w:val="none"/>
            </w:rPr>
            <w:t>目录</w:t>
          </w:r>
          <w:r>
            <w:rPr>
              <w:rFonts w:hint="default" w:ascii="Times New Roman" w:hAnsi="Times New Roman" w:cs="Times New Roman"/>
              <w:color w:val="auto"/>
              <w:highlight w:val="none"/>
              <w:lang w:val="en-US" w:eastAsia="zh-CN"/>
            </w:rPr>
            <w:fldChar w:fldCharType="begin"/>
          </w:r>
          <w:r>
            <w:rPr>
              <w:rFonts w:hint="default" w:ascii="Times New Roman" w:hAnsi="Times New Roman" w:cs="Times New Roman"/>
              <w:color w:val="auto"/>
              <w:highlight w:val="none"/>
              <w:lang w:val="en-US" w:eastAsia="zh-CN"/>
            </w:rPr>
            <w:instrText xml:space="preserve">TOC \o "1-2" \h \u </w:instrText>
          </w:r>
          <w:r>
            <w:rPr>
              <w:rFonts w:hint="default" w:ascii="Times New Roman" w:hAnsi="Times New Roman" w:cs="Times New Roman"/>
              <w:color w:val="auto"/>
              <w:highlight w:val="none"/>
              <w:lang w:val="en-US" w:eastAsia="zh-CN"/>
            </w:rPr>
            <w:fldChar w:fldCharType="separate"/>
          </w:r>
        </w:p>
        <w:p>
          <w:pPr>
            <w:pStyle w:val="25"/>
            <w:tabs>
              <w:tab w:val="right" w:leader="dot" w:pos="8306"/>
            </w:tabs>
            <w:rPr>
              <w:rFonts w:hint="default" w:ascii="Times New Roman" w:hAnsi="Times New Roman" w:eastAsia="黑体" w:cs="Times New Roman"/>
              <w:b w:val="0"/>
              <w:bCs/>
              <w:color w:val="auto"/>
              <w:sz w:val="32"/>
              <w:szCs w:val="32"/>
              <w:highlight w:val="none"/>
            </w:rPr>
          </w:pP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HYPERLINK \l _Toc13666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前言</w:t>
          </w:r>
          <w:r>
            <w:rPr>
              <w:rFonts w:hint="default" w:ascii="Times New Roman" w:hAnsi="Times New Roman" w:eastAsia="黑体" w:cs="Times New Roman"/>
              <w:b w:val="0"/>
              <w:bCs/>
              <w:color w:val="auto"/>
              <w:sz w:val="32"/>
              <w:szCs w:val="32"/>
              <w:highlight w:val="none"/>
            </w:rPr>
            <w:tab/>
          </w:r>
          <w:r>
            <w:rPr>
              <w:rFonts w:hint="default" w:ascii="Times New Roman" w:hAnsi="Times New Roman" w:eastAsia="黑体" w:cs="Times New Roman"/>
              <w:b w:val="0"/>
              <w:bCs/>
              <w:color w:val="auto"/>
              <w:sz w:val="32"/>
              <w:szCs w:val="32"/>
              <w:highlight w:val="none"/>
            </w:rPr>
            <w:fldChar w:fldCharType="begin"/>
          </w:r>
          <w:r>
            <w:rPr>
              <w:rFonts w:hint="default" w:ascii="Times New Roman" w:hAnsi="Times New Roman" w:eastAsia="黑体" w:cs="Times New Roman"/>
              <w:b w:val="0"/>
              <w:bCs/>
              <w:color w:val="auto"/>
              <w:sz w:val="32"/>
              <w:szCs w:val="32"/>
              <w:highlight w:val="none"/>
            </w:rPr>
            <w:instrText xml:space="preserve"> PAGEREF _Toc13666 \h </w:instrText>
          </w:r>
          <w:r>
            <w:rPr>
              <w:rFonts w:hint="default" w:ascii="Times New Roman" w:hAnsi="Times New Roman" w:eastAsia="黑体" w:cs="Times New Roman"/>
              <w:b w:val="0"/>
              <w:bCs/>
              <w:color w:val="auto"/>
              <w:sz w:val="32"/>
              <w:szCs w:val="32"/>
              <w:highlight w:val="none"/>
            </w:rPr>
            <w:fldChar w:fldCharType="separate"/>
          </w:r>
          <w:r>
            <w:rPr>
              <w:rFonts w:hint="default" w:ascii="Times New Roman" w:hAnsi="Times New Roman" w:eastAsia="黑体" w:cs="Times New Roman"/>
              <w:b w:val="0"/>
              <w:bCs/>
              <w:color w:val="auto"/>
              <w:sz w:val="32"/>
              <w:szCs w:val="32"/>
              <w:highlight w:val="none"/>
            </w:rPr>
            <w:t>1</w:t>
          </w:r>
          <w:r>
            <w:rPr>
              <w:rFonts w:hint="default" w:ascii="Times New Roman" w:hAnsi="Times New Roman" w:eastAsia="黑体" w:cs="Times New Roman"/>
              <w:b w:val="0"/>
              <w:bCs/>
              <w:color w:val="auto"/>
              <w:sz w:val="32"/>
              <w:szCs w:val="32"/>
              <w:highlight w:val="none"/>
            </w:rPr>
            <w:fldChar w:fldCharType="end"/>
          </w:r>
          <w:r>
            <w:rPr>
              <w:rFonts w:hint="default" w:ascii="Times New Roman" w:hAnsi="Times New Roman" w:eastAsia="黑体" w:cs="Times New Roman"/>
              <w:b w:val="0"/>
              <w:bCs/>
              <w:color w:val="auto"/>
              <w:sz w:val="32"/>
              <w:szCs w:val="32"/>
              <w:highlight w:val="none"/>
              <w:lang w:val="en-US" w:eastAsia="zh-CN"/>
            </w:rPr>
            <w:fldChar w:fldCharType="end"/>
          </w:r>
        </w:p>
        <w:p>
          <w:pPr>
            <w:pStyle w:val="25"/>
            <w:tabs>
              <w:tab w:val="right" w:leader="dot" w:pos="8306"/>
            </w:tabs>
            <w:rPr>
              <w:rFonts w:hint="default" w:ascii="Times New Roman" w:hAnsi="Times New Roman" w:cs="Times New Roman"/>
              <w:b/>
              <w:color w:val="auto"/>
              <w:highlight w:val="none"/>
            </w:rPr>
          </w:pP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HYPERLINK \l _Toc24917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1 建设项目及水土保持工作概况</w:t>
          </w:r>
          <w:r>
            <w:rPr>
              <w:rFonts w:hint="default" w:ascii="Times New Roman" w:hAnsi="Times New Roman" w:eastAsia="黑体" w:cs="Times New Roman"/>
              <w:b w:val="0"/>
              <w:bCs/>
              <w:color w:val="auto"/>
              <w:sz w:val="32"/>
              <w:szCs w:val="32"/>
              <w:highlight w:val="none"/>
            </w:rPr>
            <w:tab/>
          </w:r>
          <w:r>
            <w:rPr>
              <w:rFonts w:hint="default" w:ascii="Times New Roman" w:hAnsi="Times New Roman" w:eastAsia="黑体" w:cs="Times New Roman"/>
              <w:b w:val="0"/>
              <w:bCs/>
              <w:color w:val="auto"/>
              <w:sz w:val="32"/>
              <w:szCs w:val="32"/>
              <w:highlight w:val="none"/>
            </w:rPr>
            <w:fldChar w:fldCharType="begin"/>
          </w:r>
          <w:r>
            <w:rPr>
              <w:rFonts w:hint="default" w:ascii="Times New Roman" w:hAnsi="Times New Roman" w:eastAsia="黑体" w:cs="Times New Roman"/>
              <w:b w:val="0"/>
              <w:bCs/>
              <w:color w:val="auto"/>
              <w:sz w:val="32"/>
              <w:szCs w:val="32"/>
              <w:highlight w:val="none"/>
            </w:rPr>
            <w:instrText xml:space="preserve"> PAGEREF _Toc24917 \h </w:instrText>
          </w:r>
          <w:r>
            <w:rPr>
              <w:rFonts w:hint="default" w:ascii="Times New Roman" w:hAnsi="Times New Roman" w:eastAsia="黑体" w:cs="Times New Roman"/>
              <w:b w:val="0"/>
              <w:bCs/>
              <w:color w:val="auto"/>
              <w:sz w:val="32"/>
              <w:szCs w:val="32"/>
              <w:highlight w:val="none"/>
            </w:rPr>
            <w:fldChar w:fldCharType="separate"/>
          </w:r>
          <w:r>
            <w:rPr>
              <w:rFonts w:hint="default" w:ascii="Times New Roman" w:hAnsi="Times New Roman" w:eastAsia="黑体" w:cs="Times New Roman"/>
              <w:b w:val="0"/>
              <w:bCs/>
              <w:color w:val="auto"/>
              <w:sz w:val="32"/>
              <w:szCs w:val="32"/>
              <w:highlight w:val="none"/>
            </w:rPr>
            <w:t>2</w:t>
          </w:r>
          <w:r>
            <w:rPr>
              <w:rFonts w:hint="default" w:ascii="Times New Roman" w:hAnsi="Times New Roman" w:eastAsia="黑体" w:cs="Times New Roman"/>
              <w:b w:val="0"/>
              <w:bCs/>
              <w:color w:val="auto"/>
              <w:sz w:val="32"/>
              <w:szCs w:val="32"/>
              <w:highlight w:val="none"/>
            </w:rPr>
            <w:fldChar w:fldCharType="end"/>
          </w:r>
          <w:r>
            <w:rPr>
              <w:rFonts w:hint="default" w:ascii="Times New Roman" w:hAnsi="Times New Roman" w:eastAsia="黑体" w:cs="Times New Roman"/>
              <w:b w:val="0"/>
              <w:bCs/>
              <w:color w:val="auto"/>
              <w:sz w:val="32"/>
              <w:szCs w:val="32"/>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_Toc56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1.1 项目概况</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_Toc56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2</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_Toc32519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1.2 水土保持工作情况</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_Toc32519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4</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cs="Times New Roman"/>
              <w:color w:val="auto"/>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_Toc25889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1.3 监测工作实施情况</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_Toc25889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6</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5"/>
            <w:tabs>
              <w:tab w:val="right" w:leader="dot" w:pos="8306"/>
            </w:tabs>
            <w:rPr>
              <w:rFonts w:hint="default" w:ascii="Times New Roman" w:hAnsi="Times New Roman" w:cs="Times New Roman"/>
              <w:b/>
              <w:color w:val="auto"/>
              <w:highlight w:val="none"/>
            </w:rPr>
          </w:pP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HYPERLINK \l _Toc27760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2 监测内容与方法</w:t>
          </w:r>
          <w:r>
            <w:rPr>
              <w:rFonts w:hint="default" w:ascii="Times New Roman" w:hAnsi="Times New Roman" w:eastAsia="黑体" w:cs="Times New Roman"/>
              <w:b w:val="0"/>
              <w:bCs/>
              <w:color w:val="auto"/>
              <w:sz w:val="32"/>
              <w:szCs w:val="32"/>
              <w:highlight w:val="none"/>
              <w:lang w:val="en-US" w:eastAsia="zh-CN"/>
            </w:rPr>
            <w:tab/>
          </w: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PAGEREF _Toc27760 \h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12</w:t>
          </w:r>
          <w:r>
            <w:rPr>
              <w:rFonts w:hint="default" w:ascii="Times New Roman" w:hAnsi="Times New Roman" w:eastAsia="黑体" w:cs="Times New Roman"/>
              <w:b w:val="0"/>
              <w:bCs/>
              <w:color w:val="auto"/>
              <w:sz w:val="32"/>
              <w:szCs w:val="32"/>
              <w:highlight w:val="none"/>
              <w:lang w:val="en-US" w:eastAsia="zh-CN"/>
            </w:rPr>
            <w:fldChar w:fldCharType="end"/>
          </w:r>
          <w:r>
            <w:rPr>
              <w:rFonts w:hint="default" w:ascii="Times New Roman" w:hAnsi="Times New Roman" w:eastAsia="黑体" w:cs="Times New Roman"/>
              <w:b w:val="0"/>
              <w:bCs/>
              <w:color w:val="auto"/>
              <w:sz w:val="32"/>
              <w:szCs w:val="32"/>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_Toc17949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2.</w:t>
          </w:r>
          <w:r>
            <w:rPr>
              <w:rFonts w:hint="default" w:ascii="Times New Roman" w:hAnsi="Times New Roman" w:eastAsia="仿宋" w:cs="Times New Roman"/>
              <w:color w:val="auto"/>
              <w:sz w:val="28"/>
              <w:szCs w:val="28"/>
              <w:highlight w:val="none"/>
              <w:lang w:eastAsia="zh-CN"/>
            </w:rPr>
            <w:t xml:space="preserve">1 </w:t>
          </w:r>
          <w:r>
            <w:rPr>
              <w:rFonts w:hint="default" w:ascii="Times New Roman" w:hAnsi="Times New Roman" w:eastAsia="仿宋" w:cs="Times New Roman"/>
              <w:color w:val="auto"/>
              <w:sz w:val="28"/>
              <w:szCs w:val="28"/>
              <w:highlight w:val="none"/>
              <w:lang w:val="en-US" w:eastAsia="zh-CN"/>
            </w:rPr>
            <w:t>扰动地表情况监测</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_Toc17949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12</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_Toc21750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rPr>
            <w:t>2.2 取土、弃渣监测</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_Toc21750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12</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_Toc21692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rPr>
            <w:t>2.3 水土保持措施</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_Toc21692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12</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cs="Times New Roman"/>
              <w:color w:val="auto"/>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_Toc4260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rPr>
            <w:t>2.4 水土流失情况</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_Toc4260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13</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5"/>
            <w:tabs>
              <w:tab w:val="right" w:leader="dot" w:pos="8306"/>
            </w:tabs>
            <w:rPr>
              <w:rFonts w:hint="default" w:ascii="Times New Roman" w:hAnsi="Times New Roman" w:cs="Times New Roman"/>
              <w:b/>
              <w:color w:val="auto"/>
              <w:highlight w:val="none"/>
            </w:rPr>
          </w:pP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HYPERLINK \l _Toc10930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3 重点部位水土流失动态监测</w:t>
          </w:r>
          <w:r>
            <w:rPr>
              <w:rFonts w:hint="default" w:ascii="Times New Roman" w:hAnsi="Times New Roman" w:eastAsia="黑体" w:cs="Times New Roman"/>
              <w:b w:val="0"/>
              <w:bCs/>
              <w:color w:val="auto"/>
              <w:sz w:val="32"/>
              <w:szCs w:val="32"/>
              <w:highlight w:val="none"/>
              <w:lang w:val="en-US" w:eastAsia="zh-CN"/>
            </w:rPr>
            <w:tab/>
          </w: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PAGEREF _Toc10930 \h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13</w:t>
          </w:r>
          <w:r>
            <w:rPr>
              <w:rFonts w:hint="default" w:ascii="Times New Roman" w:hAnsi="Times New Roman" w:eastAsia="黑体" w:cs="Times New Roman"/>
              <w:b w:val="0"/>
              <w:bCs/>
              <w:color w:val="auto"/>
              <w:sz w:val="32"/>
              <w:szCs w:val="32"/>
              <w:highlight w:val="none"/>
              <w:lang w:val="en-US" w:eastAsia="zh-CN"/>
            </w:rPr>
            <w:fldChar w:fldCharType="end"/>
          </w:r>
          <w:r>
            <w:rPr>
              <w:rFonts w:hint="default" w:ascii="Times New Roman" w:hAnsi="Times New Roman" w:eastAsia="黑体" w:cs="Times New Roman"/>
              <w:b w:val="0"/>
              <w:bCs/>
              <w:color w:val="auto"/>
              <w:sz w:val="32"/>
              <w:szCs w:val="32"/>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_Toc13545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3.1 防治责任范围监测</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_Toc13545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13</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_Toc2062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3.2 取土（石、料）检测结果</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_Toc2062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15</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_Toc2161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3.3 弃土（石、渣）监测结果</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_Toc2161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15</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cs="Times New Roman"/>
              <w:color w:val="auto"/>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_Toc27716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3.4 土石方流向检测结果</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_Toc27716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15</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5"/>
            <w:tabs>
              <w:tab w:val="right" w:leader="dot" w:pos="8306"/>
            </w:tabs>
            <w:rPr>
              <w:rFonts w:hint="default" w:ascii="Times New Roman" w:hAnsi="Times New Roman" w:eastAsia="黑体" w:cs="Times New Roman"/>
              <w:b w:val="0"/>
              <w:bCs/>
              <w:color w:val="auto"/>
              <w:sz w:val="32"/>
              <w:szCs w:val="32"/>
              <w:highlight w:val="none"/>
              <w:lang w:val="en-US" w:eastAsia="zh-CN"/>
            </w:rPr>
          </w:pP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HYPERLINK \l _Toc23178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4 水土流失监测结果</w:t>
          </w:r>
          <w:r>
            <w:rPr>
              <w:rFonts w:hint="default" w:ascii="Times New Roman" w:hAnsi="Times New Roman" w:eastAsia="黑体" w:cs="Times New Roman"/>
              <w:b w:val="0"/>
              <w:bCs/>
              <w:color w:val="auto"/>
              <w:sz w:val="32"/>
              <w:szCs w:val="32"/>
              <w:highlight w:val="none"/>
              <w:lang w:val="en-US" w:eastAsia="zh-CN"/>
            </w:rPr>
            <w:tab/>
          </w: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PAGEREF _Toc23178 \h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16</w:t>
          </w:r>
          <w:r>
            <w:rPr>
              <w:rFonts w:hint="default" w:ascii="Times New Roman" w:hAnsi="Times New Roman" w:eastAsia="黑体" w:cs="Times New Roman"/>
              <w:b w:val="0"/>
              <w:bCs/>
              <w:color w:val="auto"/>
              <w:sz w:val="32"/>
              <w:szCs w:val="32"/>
              <w:highlight w:val="none"/>
              <w:lang w:val="en-US" w:eastAsia="zh-CN"/>
            </w:rPr>
            <w:fldChar w:fldCharType="end"/>
          </w:r>
          <w:r>
            <w:rPr>
              <w:rFonts w:hint="default" w:ascii="Times New Roman" w:hAnsi="Times New Roman" w:eastAsia="黑体" w:cs="Times New Roman"/>
              <w:b w:val="0"/>
              <w:bCs/>
              <w:color w:val="auto"/>
              <w:sz w:val="32"/>
              <w:szCs w:val="32"/>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_Toc10342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4.1 工程措施检测结果</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_Toc10342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16</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_Toc760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4.2 植物措施检测结果</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_Toc760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16</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b/>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_Toc15423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4.3 临时防治监测结果</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_Toc15423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17</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cs="Times New Roman"/>
              <w:color w:val="auto"/>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_Toc7469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4.4 水土保持措施防治效果</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_Toc7469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21</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5"/>
            <w:tabs>
              <w:tab w:val="right" w:leader="dot" w:pos="8306"/>
            </w:tabs>
            <w:rPr>
              <w:rFonts w:hint="default" w:ascii="Times New Roman" w:hAnsi="Times New Roman" w:cs="Times New Roman"/>
              <w:b/>
              <w:color w:val="auto"/>
              <w:highlight w:val="none"/>
            </w:rPr>
          </w:pP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HYPERLINK \l _Toc27152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5 土壤流失情况监测</w:t>
          </w:r>
          <w:r>
            <w:rPr>
              <w:rFonts w:hint="default" w:ascii="Times New Roman" w:hAnsi="Times New Roman" w:eastAsia="黑体" w:cs="Times New Roman"/>
              <w:b w:val="0"/>
              <w:bCs/>
              <w:color w:val="auto"/>
              <w:sz w:val="32"/>
              <w:szCs w:val="32"/>
              <w:highlight w:val="none"/>
              <w:lang w:val="en-US" w:eastAsia="zh-CN"/>
            </w:rPr>
            <w:tab/>
          </w: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PAGEREF _Toc27152 \h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24</w:t>
          </w:r>
          <w:r>
            <w:rPr>
              <w:rFonts w:hint="default" w:ascii="Times New Roman" w:hAnsi="Times New Roman" w:eastAsia="黑体" w:cs="Times New Roman"/>
              <w:b w:val="0"/>
              <w:bCs/>
              <w:color w:val="auto"/>
              <w:sz w:val="32"/>
              <w:szCs w:val="32"/>
              <w:highlight w:val="none"/>
              <w:lang w:val="en-US" w:eastAsia="zh-CN"/>
            </w:rPr>
            <w:fldChar w:fldCharType="end"/>
          </w:r>
          <w:r>
            <w:rPr>
              <w:rFonts w:hint="default" w:ascii="Times New Roman" w:hAnsi="Times New Roman" w:eastAsia="黑体" w:cs="Times New Roman"/>
              <w:b w:val="0"/>
              <w:bCs/>
              <w:color w:val="auto"/>
              <w:sz w:val="32"/>
              <w:szCs w:val="32"/>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lang w:val="en-US" w:eastAsia="zh-CN"/>
            </w:rPr>
            <w:sectPr>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_Toc15601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5.1 水土流失面积</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_Toc15601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24</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_Toc32353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5.2 土壤流失量</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_Toc32353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24</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_Toc6089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5.3 取料、弃渣潜在土壤流失量</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_Toc6089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26</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cs="Times New Roman"/>
              <w:color w:val="auto"/>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_Toc20119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5.4 水土流失危害</w:t>
          </w:r>
          <w:r>
            <w:rPr>
              <w:rFonts w:hint="default" w:ascii="Times New Roman" w:hAnsi="Times New Roman" w:eastAsia="仿宋" w:cs="Times New Roman"/>
              <w:color w:val="auto"/>
              <w:sz w:val="28"/>
              <w:szCs w:val="28"/>
              <w:highlight w:val="none"/>
            </w:rPr>
            <w:tab/>
          </w:r>
          <w:r>
            <w:rPr>
              <w:rFonts w:hint="default" w:ascii="Times New Roman" w:hAnsi="Times New Roman" w:eastAsia="仿宋" w:cs="Times New Roman"/>
              <w:color w:val="auto"/>
              <w:sz w:val="28"/>
              <w:szCs w:val="28"/>
              <w:highlight w:val="none"/>
            </w:rPr>
            <w:fldChar w:fldCharType="begin"/>
          </w:r>
          <w:r>
            <w:rPr>
              <w:rFonts w:hint="default" w:ascii="Times New Roman" w:hAnsi="Times New Roman" w:eastAsia="仿宋" w:cs="Times New Roman"/>
              <w:color w:val="auto"/>
              <w:sz w:val="28"/>
              <w:szCs w:val="28"/>
              <w:highlight w:val="none"/>
            </w:rPr>
            <w:instrText xml:space="preserve"> PAGEREF _Toc20119 \h </w:instrText>
          </w:r>
          <w:r>
            <w:rPr>
              <w:rFonts w:hint="default" w:ascii="Times New Roman" w:hAnsi="Times New Roman" w:eastAsia="仿宋" w:cs="Times New Roman"/>
              <w:color w:val="auto"/>
              <w:sz w:val="28"/>
              <w:szCs w:val="28"/>
              <w:highlight w:val="none"/>
            </w:rPr>
            <w:fldChar w:fldCharType="separate"/>
          </w:r>
          <w:r>
            <w:rPr>
              <w:rFonts w:hint="default" w:ascii="Times New Roman" w:hAnsi="Times New Roman" w:eastAsia="仿宋" w:cs="Times New Roman"/>
              <w:color w:val="auto"/>
              <w:sz w:val="28"/>
              <w:szCs w:val="28"/>
              <w:highlight w:val="none"/>
            </w:rPr>
            <w:t>26</w:t>
          </w:r>
          <w:r>
            <w:rPr>
              <w:rFonts w:hint="default" w:ascii="Times New Roman" w:hAnsi="Times New Roman" w:eastAsia="仿宋" w:cs="Times New Roman"/>
              <w:color w:val="auto"/>
              <w:sz w:val="28"/>
              <w:szCs w:val="28"/>
              <w:highlight w:val="none"/>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5"/>
            <w:tabs>
              <w:tab w:val="right" w:leader="dot" w:pos="8306"/>
            </w:tabs>
            <w:rPr>
              <w:rFonts w:hint="default" w:ascii="Times New Roman" w:hAnsi="Times New Roman" w:eastAsia="黑体" w:cs="Times New Roman"/>
              <w:b w:val="0"/>
              <w:bCs/>
              <w:color w:val="auto"/>
              <w:sz w:val="32"/>
              <w:szCs w:val="32"/>
              <w:highlight w:val="none"/>
              <w:lang w:val="en-US" w:eastAsia="zh-CN"/>
            </w:rPr>
          </w:pP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HYPERLINK \l _Toc3216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6 水土流失防治效果检测结果</w:t>
          </w:r>
          <w:r>
            <w:rPr>
              <w:rFonts w:hint="default" w:ascii="Times New Roman" w:hAnsi="Times New Roman" w:eastAsia="黑体" w:cs="Times New Roman"/>
              <w:b w:val="0"/>
              <w:bCs/>
              <w:color w:val="auto"/>
              <w:sz w:val="32"/>
              <w:szCs w:val="32"/>
              <w:highlight w:val="none"/>
              <w:lang w:val="en-US" w:eastAsia="zh-CN"/>
            </w:rPr>
            <w:tab/>
          </w: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PAGEREF _Toc3216 \h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27</w:t>
          </w:r>
          <w:r>
            <w:rPr>
              <w:rFonts w:hint="default" w:ascii="Times New Roman" w:hAnsi="Times New Roman" w:eastAsia="黑体" w:cs="Times New Roman"/>
              <w:b w:val="0"/>
              <w:bCs/>
              <w:color w:val="auto"/>
              <w:sz w:val="32"/>
              <w:szCs w:val="32"/>
              <w:highlight w:val="none"/>
              <w:lang w:val="en-US" w:eastAsia="zh-CN"/>
            </w:rPr>
            <w:fldChar w:fldCharType="end"/>
          </w:r>
          <w:r>
            <w:rPr>
              <w:rFonts w:hint="default" w:ascii="Times New Roman" w:hAnsi="Times New Roman" w:eastAsia="黑体" w:cs="Times New Roman"/>
              <w:b w:val="0"/>
              <w:bCs/>
              <w:color w:val="auto"/>
              <w:sz w:val="32"/>
              <w:szCs w:val="32"/>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_Toc10537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6.1 扰动土地整治率</w:t>
          </w:r>
          <w:r>
            <w:rPr>
              <w:rFonts w:hint="default" w:ascii="Times New Roman" w:hAnsi="Times New Roman" w:eastAsia="仿宋" w:cs="Times New Roman"/>
              <w:color w:val="auto"/>
              <w:sz w:val="28"/>
              <w:szCs w:val="28"/>
              <w:highlight w:val="none"/>
              <w:lang w:val="en-US" w:eastAsia="zh-CN"/>
            </w:rPr>
            <w:tab/>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PAGEREF _Toc10537 \h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27</w:t>
          </w:r>
          <w:r>
            <w:rPr>
              <w:rFonts w:hint="default" w:ascii="Times New Roman" w:hAnsi="Times New Roman" w:eastAsia="仿宋" w:cs="Times New Roman"/>
              <w:color w:val="auto"/>
              <w:sz w:val="28"/>
              <w:szCs w:val="28"/>
              <w:highlight w:val="none"/>
              <w:lang w:val="en-US" w:eastAsia="zh-CN"/>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_Toc5824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6.2 水土流失总治理程度</w:t>
          </w:r>
          <w:r>
            <w:rPr>
              <w:rFonts w:hint="default" w:ascii="Times New Roman" w:hAnsi="Times New Roman" w:eastAsia="仿宋" w:cs="Times New Roman"/>
              <w:color w:val="auto"/>
              <w:sz w:val="28"/>
              <w:szCs w:val="28"/>
              <w:highlight w:val="none"/>
              <w:lang w:val="en-US" w:eastAsia="zh-CN"/>
            </w:rPr>
            <w:tab/>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PAGEREF _Toc5824 \h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27</w:t>
          </w:r>
          <w:r>
            <w:rPr>
              <w:rFonts w:hint="default" w:ascii="Times New Roman" w:hAnsi="Times New Roman" w:eastAsia="仿宋" w:cs="Times New Roman"/>
              <w:color w:val="auto"/>
              <w:sz w:val="28"/>
              <w:szCs w:val="28"/>
              <w:highlight w:val="none"/>
              <w:lang w:val="en-US" w:eastAsia="zh-CN"/>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_Toc28422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6.3 拦渣率与弃渣利用情况</w:t>
          </w:r>
          <w:r>
            <w:rPr>
              <w:rFonts w:hint="default" w:ascii="Times New Roman" w:hAnsi="Times New Roman" w:eastAsia="仿宋" w:cs="Times New Roman"/>
              <w:color w:val="auto"/>
              <w:sz w:val="28"/>
              <w:szCs w:val="28"/>
              <w:highlight w:val="none"/>
              <w:lang w:val="en-US" w:eastAsia="zh-CN"/>
            </w:rPr>
            <w:tab/>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PAGEREF _Toc28422 \h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28</w:t>
          </w:r>
          <w:r>
            <w:rPr>
              <w:rFonts w:hint="default" w:ascii="Times New Roman" w:hAnsi="Times New Roman" w:eastAsia="仿宋" w:cs="Times New Roman"/>
              <w:color w:val="auto"/>
              <w:sz w:val="28"/>
              <w:szCs w:val="28"/>
              <w:highlight w:val="none"/>
              <w:lang w:val="en-US" w:eastAsia="zh-CN"/>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_Toc383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6.4 土壤流失控制比</w:t>
          </w:r>
          <w:r>
            <w:rPr>
              <w:rFonts w:hint="default" w:ascii="Times New Roman" w:hAnsi="Times New Roman" w:eastAsia="仿宋" w:cs="Times New Roman"/>
              <w:color w:val="auto"/>
              <w:sz w:val="28"/>
              <w:szCs w:val="28"/>
              <w:highlight w:val="none"/>
              <w:lang w:val="en-US" w:eastAsia="zh-CN"/>
            </w:rPr>
            <w:tab/>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PAGEREF _Toc383 \h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28</w:t>
          </w:r>
          <w:r>
            <w:rPr>
              <w:rFonts w:hint="default" w:ascii="Times New Roman" w:hAnsi="Times New Roman" w:eastAsia="仿宋" w:cs="Times New Roman"/>
              <w:color w:val="auto"/>
              <w:sz w:val="28"/>
              <w:szCs w:val="28"/>
              <w:highlight w:val="none"/>
              <w:lang w:val="en-US" w:eastAsia="zh-CN"/>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_Toc15592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6.5 林草植被恢复率</w:t>
          </w:r>
          <w:r>
            <w:rPr>
              <w:rFonts w:hint="default" w:ascii="Times New Roman" w:hAnsi="Times New Roman" w:eastAsia="仿宋" w:cs="Times New Roman"/>
              <w:color w:val="auto"/>
              <w:sz w:val="28"/>
              <w:szCs w:val="28"/>
              <w:highlight w:val="none"/>
              <w:lang w:val="en-US" w:eastAsia="zh-CN"/>
            </w:rPr>
            <w:tab/>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PAGEREF _Toc15592 \h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28</w:t>
          </w:r>
          <w:r>
            <w:rPr>
              <w:rFonts w:hint="default" w:ascii="Times New Roman" w:hAnsi="Times New Roman" w:eastAsia="仿宋" w:cs="Times New Roman"/>
              <w:color w:val="auto"/>
              <w:sz w:val="28"/>
              <w:szCs w:val="28"/>
              <w:highlight w:val="none"/>
              <w:lang w:val="en-US" w:eastAsia="zh-CN"/>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cs="Times New Roman"/>
              <w:color w:val="auto"/>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_Toc9249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6.6林草覆盖率</w:t>
          </w:r>
          <w:r>
            <w:rPr>
              <w:rFonts w:hint="default" w:ascii="Times New Roman" w:hAnsi="Times New Roman" w:eastAsia="仿宋" w:cs="Times New Roman"/>
              <w:color w:val="auto"/>
              <w:sz w:val="28"/>
              <w:szCs w:val="28"/>
              <w:highlight w:val="none"/>
              <w:lang w:val="en-US" w:eastAsia="zh-CN"/>
            </w:rPr>
            <w:tab/>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PAGEREF _Toc9249 \h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29</w:t>
          </w:r>
          <w:r>
            <w:rPr>
              <w:rFonts w:hint="default" w:ascii="Times New Roman" w:hAnsi="Times New Roman" w:eastAsia="仿宋" w:cs="Times New Roman"/>
              <w:color w:val="auto"/>
              <w:sz w:val="28"/>
              <w:szCs w:val="28"/>
              <w:highlight w:val="none"/>
              <w:lang w:val="en-US" w:eastAsia="zh-CN"/>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5"/>
            <w:tabs>
              <w:tab w:val="right" w:leader="dot" w:pos="8306"/>
            </w:tabs>
            <w:rPr>
              <w:rFonts w:hint="default" w:ascii="Times New Roman" w:hAnsi="Times New Roman" w:eastAsia="黑体" w:cs="Times New Roman"/>
              <w:b w:val="0"/>
              <w:bCs/>
              <w:color w:val="auto"/>
              <w:sz w:val="32"/>
              <w:szCs w:val="32"/>
              <w:highlight w:val="none"/>
              <w:lang w:val="en-US" w:eastAsia="zh-CN"/>
            </w:rPr>
          </w:pP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HYPERLINK \l _Toc3144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7 结论</w:t>
          </w:r>
          <w:r>
            <w:rPr>
              <w:rFonts w:hint="default" w:ascii="Times New Roman" w:hAnsi="Times New Roman" w:eastAsia="黑体" w:cs="Times New Roman"/>
              <w:b w:val="0"/>
              <w:bCs/>
              <w:color w:val="auto"/>
              <w:sz w:val="32"/>
              <w:szCs w:val="32"/>
              <w:highlight w:val="none"/>
              <w:lang w:val="en-US" w:eastAsia="zh-CN"/>
            </w:rPr>
            <w:tab/>
          </w: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PAGEREF _Toc3144 \h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29</w:t>
          </w:r>
          <w:r>
            <w:rPr>
              <w:rFonts w:hint="default" w:ascii="Times New Roman" w:hAnsi="Times New Roman" w:eastAsia="黑体" w:cs="Times New Roman"/>
              <w:b w:val="0"/>
              <w:bCs/>
              <w:color w:val="auto"/>
              <w:sz w:val="32"/>
              <w:szCs w:val="32"/>
              <w:highlight w:val="none"/>
              <w:lang w:val="en-US" w:eastAsia="zh-CN"/>
            </w:rPr>
            <w:fldChar w:fldCharType="end"/>
          </w:r>
          <w:r>
            <w:rPr>
              <w:rFonts w:hint="default" w:ascii="Times New Roman" w:hAnsi="Times New Roman" w:eastAsia="黑体" w:cs="Times New Roman"/>
              <w:b w:val="0"/>
              <w:bCs/>
              <w:color w:val="auto"/>
              <w:sz w:val="32"/>
              <w:szCs w:val="32"/>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_Toc31693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7.1 水土流失动态变化</w:t>
          </w:r>
          <w:r>
            <w:rPr>
              <w:rFonts w:hint="default" w:ascii="Times New Roman" w:hAnsi="Times New Roman" w:eastAsia="仿宋" w:cs="Times New Roman"/>
              <w:color w:val="auto"/>
              <w:sz w:val="28"/>
              <w:szCs w:val="28"/>
              <w:highlight w:val="none"/>
              <w:lang w:val="en-US" w:eastAsia="zh-CN"/>
            </w:rPr>
            <w:tab/>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PAGEREF _Toc31693 \h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29</w:t>
          </w:r>
          <w:r>
            <w:rPr>
              <w:rFonts w:hint="default" w:ascii="Times New Roman" w:hAnsi="Times New Roman" w:eastAsia="仿宋" w:cs="Times New Roman"/>
              <w:color w:val="auto"/>
              <w:sz w:val="28"/>
              <w:szCs w:val="28"/>
              <w:highlight w:val="none"/>
              <w:lang w:val="en-US" w:eastAsia="zh-CN"/>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_Toc28926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7.2 水土保持措施评价</w:t>
          </w:r>
          <w:r>
            <w:rPr>
              <w:rFonts w:hint="default" w:ascii="Times New Roman" w:hAnsi="Times New Roman" w:eastAsia="仿宋" w:cs="Times New Roman"/>
              <w:color w:val="auto"/>
              <w:sz w:val="28"/>
              <w:szCs w:val="28"/>
              <w:highlight w:val="none"/>
              <w:lang w:val="en-US" w:eastAsia="zh-CN"/>
            </w:rPr>
            <w:tab/>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PAGEREF _Toc28926 \h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30</w:t>
          </w:r>
          <w:r>
            <w:rPr>
              <w:rFonts w:hint="default" w:ascii="Times New Roman" w:hAnsi="Times New Roman" w:eastAsia="仿宋" w:cs="Times New Roman"/>
              <w:color w:val="auto"/>
              <w:sz w:val="28"/>
              <w:szCs w:val="28"/>
              <w:highlight w:val="none"/>
              <w:lang w:val="en-US" w:eastAsia="zh-CN"/>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_Toc21280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7.3 存在的问题与建议</w:t>
          </w:r>
          <w:r>
            <w:rPr>
              <w:rFonts w:hint="default" w:ascii="Times New Roman" w:hAnsi="Times New Roman" w:eastAsia="仿宋" w:cs="Times New Roman"/>
              <w:color w:val="auto"/>
              <w:sz w:val="28"/>
              <w:szCs w:val="28"/>
              <w:highlight w:val="none"/>
              <w:lang w:val="en-US" w:eastAsia="zh-CN"/>
            </w:rPr>
            <w:tab/>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PAGEREF _Toc21280 \h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30</w:t>
          </w:r>
          <w:r>
            <w:rPr>
              <w:rFonts w:hint="default" w:ascii="Times New Roman" w:hAnsi="Times New Roman" w:eastAsia="仿宋" w:cs="Times New Roman"/>
              <w:color w:val="auto"/>
              <w:sz w:val="28"/>
              <w:szCs w:val="28"/>
              <w:highlight w:val="none"/>
              <w:lang w:val="en-US" w:eastAsia="zh-CN"/>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cs="Times New Roman"/>
              <w:color w:val="auto"/>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_Toc205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7.4 综合结论</w:t>
          </w:r>
          <w:r>
            <w:rPr>
              <w:rFonts w:hint="default" w:ascii="Times New Roman" w:hAnsi="Times New Roman" w:eastAsia="仿宋" w:cs="Times New Roman"/>
              <w:color w:val="auto"/>
              <w:sz w:val="28"/>
              <w:szCs w:val="28"/>
              <w:highlight w:val="none"/>
              <w:lang w:val="en-US" w:eastAsia="zh-CN"/>
            </w:rPr>
            <w:tab/>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PAGEREF _Toc205 \h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31</w:t>
          </w:r>
          <w:r>
            <w:rPr>
              <w:rFonts w:hint="default" w:ascii="Times New Roman" w:hAnsi="Times New Roman" w:eastAsia="仿宋" w:cs="Times New Roman"/>
              <w:color w:val="auto"/>
              <w:sz w:val="28"/>
              <w:szCs w:val="28"/>
              <w:highlight w:val="none"/>
              <w:lang w:val="en-US" w:eastAsia="zh-CN"/>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5"/>
            <w:tabs>
              <w:tab w:val="right" w:leader="dot" w:pos="8306"/>
            </w:tabs>
            <w:rPr>
              <w:rFonts w:hint="default" w:ascii="Times New Roman" w:hAnsi="Times New Roman" w:eastAsia="黑体" w:cs="Times New Roman"/>
              <w:b w:val="0"/>
              <w:bCs/>
              <w:color w:val="auto"/>
              <w:sz w:val="32"/>
              <w:szCs w:val="32"/>
              <w:highlight w:val="none"/>
              <w:lang w:val="en-US" w:eastAsia="zh-CN"/>
            </w:rPr>
          </w:pP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HYPERLINK \l _Toc28671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8 附图及有关资料</w:t>
          </w:r>
          <w:r>
            <w:rPr>
              <w:rFonts w:hint="default" w:ascii="Times New Roman" w:hAnsi="Times New Roman" w:eastAsia="黑体" w:cs="Times New Roman"/>
              <w:b w:val="0"/>
              <w:bCs/>
              <w:color w:val="auto"/>
              <w:sz w:val="32"/>
              <w:szCs w:val="32"/>
              <w:highlight w:val="none"/>
              <w:lang w:val="en-US" w:eastAsia="zh-CN"/>
            </w:rPr>
            <w:tab/>
          </w:r>
          <w:r>
            <w:rPr>
              <w:rFonts w:hint="default" w:ascii="Times New Roman" w:hAnsi="Times New Roman" w:eastAsia="黑体" w:cs="Times New Roman"/>
              <w:b w:val="0"/>
              <w:bCs/>
              <w:color w:val="auto"/>
              <w:sz w:val="32"/>
              <w:szCs w:val="32"/>
              <w:highlight w:val="none"/>
              <w:lang w:val="en-US" w:eastAsia="zh-CN"/>
            </w:rPr>
            <w:fldChar w:fldCharType="begin"/>
          </w:r>
          <w:r>
            <w:rPr>
              <w:rFonts w:hint="default" w:ascii="Times New Roman" w:hAnsi="Times New Roman" w:eastAsia="黑体" w:cs="Times New Roman"/>
              <w:b w:val="0"/>
              <w:bCs/>
              <w:color w:val="auto"/>
              <w:sz w:val="32"/>
              <w:szCs w:val="32"/>
              <w:highlight w:val="none"/>
              <w:lang w:val="en-US" w:eastAsia="zh-CN"/>
            </w:rPr>
            <w:instrText xml:space="preserve"> PAGEREF _Toc28671 \h </w:instrText>
          </w:r>
          <w:r>
            <w:rPr>
              <w:rFonts w:hint="default" w:ascii="Times New Roman" w:hAnsi="Times New Roman" w:eastAsia="黑体" w:cs="Times New Roman"/>
              <w:b w:val="0"/>
              <w:bCs/>
              <w:color w:val="auto"/>
              <w:sz w:val="32"/>
              <w:szCs w:val="32"/>
              <w:highlight w:val="none"/>
              <w:lang w:val="en-US" w:eastAsia="zh-CN"/>
            </w:rPr>
            <w:fldChar w:fldCharType="separate"/>
          </w:r>
          <w:r>
            <w:rPr>
              <w:rFonts w:hint="default" w:ascii="Times New Roman" w:hAnsi="Times New Roman" w:eastAsia="黑体" w:cs="Times New Roman"/>
              <w:b w:val="0"/>
              <w:bCs/>
              <w:color w:val="auto"/>
              <w:sz w:val="32"/>
              <w:szCs w:val="32"/>
              <w:highlight w:val="none"/>
              <w:lang w:val="en-US" w:eastAsia="zh-CN"/>
            </w:rPr>
            <w:t>32</w:t>
          </w:r>
          <w:r>
            <w:rPr>
              <w:rFonts w:hint="default" w:ascii="Times New Roman" w:hAnsi="Times New Roman" w:eastAsia="黑体" w:cs="Times New Roman"/>
              <w:b w:val="0"/>
              <w:bCs/>
              <w:color w:val="auto"/>
              <w:sz w:val="32"/>
              <w:szCs w:val="32"/>
              <w:highlight w:val="none"/>
              <w:lang w:val="en-US" w:eastAsia="zh-CN"/>
            </w:rPr>
            <w:fldChar w:fldCharType="end"/>
          </w:r>
          <w:r>
            <w:rPr>
              <w:rFonts w:hint="default" w:ascii="Times New Roman" w:hAnsi="Times New Roman" w:eastAsia="黑体" w:cs="Times New Roman"/>
              <w:b w:val="0"/>
              <w:bCs/>
              <w:color w:val="auto"/>
              <w:sz w:val="32"/>
              <w:szCs w:val="32"/>
              <w:highlight w:val="none"/>
              <w:lang w:val="en-US" w:eastAsia="zh-CN"/>
            </w:rPr>
            <w:fldChar w:fldCharType="end"/>
          </w:r>
        </w:p>
        <w:p>
          <w:pPr>
            <w:pStyle w:val="26"/>
            <w:tabs>
              <w:tab w:val="right" w:leader="dot" w:pos="8306"/>
            </w:tabs>
            <w:rPr>
              <w:rFonts w:hint="default" w:ascii="Times New Roman" w:hAnsi="Times New Roman" w:eastAsia="仿宋" w:cs="Times New Roman"/>
              <w:color w:val="auto"/>
              <w:sz w:val="28"/>
              <w:szCs w:val="28"/>
              <w:highlight w:val="none"/>
              <w:lang w:val="en-US" w:eastAsia="zh-CN"/>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_Toc7278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8.1 有关资料</w:t>
          </w:r>
          <w:r>
            <w:rPr>
              <w:rFonts w:hint="default" w:ascii="Times New Roman" w:hAnsi="Times New Roman" w:eastAsia="仿宋" w:cs="Times New Roman"/>
              <w:color w:val="auto"/>
              <w:sz w:val="28"/>
              <w:szCs w:val="28"/>
              <w:highlight w:val="none"/>
              <w:lang w:val="en-US" w:eastAsia="zh-CN"/>
            </w:rPr>
            <w:tab/>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PAGEREF _Toc7278 \h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32</w:t>
          </w:r>
          <w:r>
            <w:rPr>
              <w:rFonts w:hint="default" w:ascii="Times New Roman" w:hAnsi="Times New Roman" w:eastAsia="仿宋" w:cs="Times New Roman"/>
              <w:color w:val="auto"/>
              <w:sz w:val="28"/>
              <w:szCs w:val="28"/>
              <w:highlight w:val="none"/>
              <w:lang w:val="en-US" w:eastAsia="zh-CN"/>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6"/>
            <w:tabs>
              <w:tab w:val="right" w:leader="dot" w:pos="8306"/>
            </w:tabs>
            <w:rPr>
              <w:rFonts w:hint="default" w:ascii="Times New Roman" w:hAnsi="Times New Roman" w:cs="Times New Roman"/>
              <w:color w:val="auto"/>
              <w:highlight w:val="none"/>
            </w:rPr>
          </w:pP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HYPERLINK \l _Toc16640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8.2 附图</w:t>
          </w:r>
          <w:r>
            <w:rPr>
              <w:rFonts w:hint="default" w:ascii="Times New Roman" w:hAnsi="Times New Roman" w:eastAsia="仿宋" w:cs="Times New Roman"/>
              <w:color w:val="auto"/>
              <w:sz w:val="28"/>
              <w:szCs w:val="28"/>
              <w:highlight w:val="none"/>
              <w:lang w:val="en-US" w:eastAsia="zh-CN"/>
            </w:rPr>
            <w:tab/>
          </w:r>
          <w:r>
            <w:rPr>
              <w:rFonts w:hint="default" w:ascii="Times New Roman" w:hAnsi="Times New Roman" w:eastAsia="仿宋" w:cs="Times New Roman"/>
              <w:color w:val="auto"/>
              <w:sz w:val="28"/>
              <w:szCs w:val="28"/>
              <w:highlight w:val="none"/>
              <w:lang w:val="en-US" w:eastAsia="zh-CN"/>
            </w:rPr>
            <w:fldChar w:fldCharType="begin"/>
          </w:r>
          <w:r>
            <w:rPr>
              <w:rFonts w:hint="default" w:ascii="Times New Roman" w:hAnsi="Times New Roman" w:eastAsia="仿宋" w:cs="Times New Roman"/>
              <w:color w:val="auto"/>
              <w:sz w:val="28"/>
              <w:szCs w:val="28"/>
              <w:highlight w:val="none"/>
              <w:lang w:val="en-US" w:eastAsia="zh-CN"/>
            </w:rPr>
            <w:instrText xml:space="preserve"> PAGEREF _Toc16640 \h </w:instrText>
          </w:r>
          <w:r>
            <w:rPr>
              <w:rFonts w:hint="default" w:ascii="Times New Roman" w:hAnsi="Times New Roman" w:eastAsia="仿宋" w:cs="Times New Roman"/>
              <w:color w:val="auto"/>
              <w:sz w:val="28"/>
              <w:szCs w:val="28"/>
              <w:highlight w:val="none"/>
              <w:lang w:val="en-US" w:eastAsia="zh-CN"/>
            </w:rPr>
            <w:fldChar w:fldCharType="separate"/>
          </w:r>
          <w:r>
            <w:rPr>
              <w:rFonts w:hint="default" w:ascii="Times New Roman" w:hAnsi="Times New Roman" w:eastAsia="仿宋" w:cs="Times New Roman"/>
              <w:color w:val="auto"/>
              <w:sz w:val="28"/>
              <w:szCs w:val="28"/>
              <w:highlight w:val="none"/>
              <w:lang w:val="en-US" w:eastAsia="zh-CN"/>
            </w:rPr>
            <w:t>38</w:t>
          </w:r>
          <w:r>
            <w:rPr>
              <w:rFonts w:hint="default" w:ascii="Times New Roman" w:hAnsi="Times New Roman" w:eastAsia="仿宋" w:cs="Times New Roman"/>
              <w:color w:val="auto"/>
              <w:sz w:val="28"/>
              <w:szCs w:val="28"/>
              <w:highlight w:val="none"/>
              <w:lang w:val="en-US" w:eastAsia="zh-CN"/>
            </w:rPr>
            <w:fldChar w:fldCharType="end"/>
          </w:r>
          <w:r>
            <w:rPr>
              <w:rFonts w:hint="default" w:ascii="Times New Roman" w:hAnsi="Times New Roman" w:eastAsia="仿宋" w:cs="Times New Roman"/>
              <w:color w:val="auto"/>
              <w:sz w:val="28"/>
              <w:szCs w:val="28"/>
              <w:highlight w:val="none"/>
              <w:lang w:val="en-US" w:eastAsia="zh-CN"/>
            </w:rPr>
            <w:fldChar w:fldCharType="end"/>
          </w:r>
        </w:p>
        <w:p>
          <w:pPr>
            <w:pStyle w:val="25"/>
            <w:tabs>
              <w:tab w:val="right" w:leader="dot" w:pos="8306"/>
            </w:tabs>
            <w:rPr>
              <w:rFonts w:hint="default" w:ascii="Times New Roman" w:hAnsi="Times New Roman" w:cs="Times New Roman"/>
              <w:b/>
              <w:color w:val="auto"/>
              <w:highlight w:val="none"/>
            </w:rPr>
          </w:pPr>
        </w:p>
        <w:p>
          <w:pPr>
            <w:pStyle w:val="2"/>
            <w:bidi w:val="0"/>
            <w:spacing w:line="360" w:lineRule="auto"/>
            <w:jc w:val="left"/>
            <w:outlineLvl w:val="9"/>
            <w:rPr>
              <w:rFonts w:hint="default" w:ascii="Times New Roman" w:hAnsi="Times New Roman" w:cs="Times New Roman"/>
              <w:color w:val="auto"/>
              <w:highlight w:val="none"/>
              <w:lang w:val="en-US" w:eastAsia="zh-CN"/>
            </w:rPr>
            <w:sectPr>
              <w:footerReference r:id="rId15" w:type="default"/>
              <w:pgSz w:w="11906" w:h="16838"/>
              <w:pgMar w:top="1440" w:right="1800" w:bottom="1440" w:left="180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r>
            <w:rPr>
              <w:rFonts w:hint="default" w:ascii="Times New Roman" w:hAnsi="Times New Roman" w:cs="Times New Roman"/>
              <w:b/>
              <w:color w:val="auto"/>
              <w:highlight w:val="none"/>
              <w:lang w:val="en-US" w:eastAsia="zh-CN"/>
            </w:rPr>
            <w:fldChar w:fldCharType="end"/>
          </w:r>
        </w:p>
      </w:sdtContent>
    </w:sdt>
    <w:p>
      <w:pPr>
        <w:pStyle w:val="2"/>
        <w:bidi w:val="0"/>
        <w:spacing w:line="360" w:lineRule="auto"/>
        <w:jc w:val="left"/>
        <w:rPr>
          <w:rFonts w:hint="default" w:ascii="Times New Roman" w:hAnsi="Times New Roman" w:cs="Times New Roman"/>
          <w:color w:val="auto"/>
          <w:highlight w:val="none"/>
          <w:lang w:val="en-US" w:eastAsia="zh-CN"/>
        </w:rPr>
      </w:pPr>
      <w:bookmarkStart w:id="203" w:name="_Toc13666"/>
      <w:bookmarkStart w:id="204" w:name="_Toc30135"/>
      <w:r>
        <w:rPr>
          <w:rFonts w:hint="default" w:ascii="Times New Roman" w:hAnsi="Times New Roman" w:cs="Times New Roman"/>
          <w:color w:val="auto"/>
          <w:highlight w:val="none"/>
          <w:lang w:val="en-US" w:eastAsia="zh-CN"/>
        </w:rPr>
        <w:t>前言</w:t>
      </w:r>
      <w:bookmarkEnd w:id="203"/>
      <w:bookmarkEnd w:id="20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衡阳市位于</w:t>
      </w:r>
      <w:r>
        <w:rPr>
          <w:rFonts w:hint="default" w:ascii="Times New Roman" w:hAnsi="Times New Roman" w:cs="Times New Roman"/>
          <w:color w:val="auto"/>
          <w:highlight w:val="none"/>
        </w:rPr>
        <w:t>湖南省中南部，湘江中游，衡山之南。地处东经110°32′16″~113°16′32″之间，北纬26°07′05″~27°28′24″之间。东邻株洲市攸县，南接郴州市安仁县、永兴县、桂阳县，西毗永州市冷水滩区、祁阳县以及邵阳市邵东县，北靠娄底市双峰县和湘潭市湘潭县。南北长150公里、东西宽173公里。衡阳市总面积15310平方公里。项目区位于主城区东侧，酃湖保护圈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项目建设规模为</w:t>
      </w:r>
      <w:r>
        <w:rPr>
          <w:rFonts w:hint="default" w:ascii="Times New Roman" w:hAnsi="Times New Roman" w:cs="Times New Roman"/>
          <w:color w:val="auto"/>
          <w:highlight w:val="none"/>
        </w:rPr>
        <w:t>工程需开挖土石方总量为</w:t>
      </w: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rPr>
        <w:t>02万m3，填方总量12.7</w:t>
      </w:r>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rPr>
        <w:t>万m3，借方12.74万m3</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沿线借方向规划渣场运得，设置施工生产场地1处。项目总占地</w:t>
      </w:r>
      <w:r>
        <w:rPr>
          <w:rFonts w:hint="default" w:ascii="Times New Roman" w:hAnsi="Times New Roman" w:cs="Times New Roman"/>
          <w:color w:val="auto"/>
          <w:highlight w:val="none"/>
          <w:lang w:val="en-US" w:eastAsia="zh-CN"/>
        </w:rPr>
        <w:t>8.51</w:t>
      </w:r>
      <w:r>
        <w:rPr>
          <w:rFonts w:hint="default" w:ascii="Times New Roman" w:hAnsi="Times New Roman" w:cs="Times New Roman"/>
          <w:color w:val="auto"/>
          <w:highlight w:val="none"/>
        </w:rPr>
        <w:t>hm²，主要原地貌类型为水塘、</w:t>
      </w:r>
      <w:r>
        <w:rPr>
          <w:rFonts w:hint="default" w:ascii="Times New Roman" w:hAnsi="Times New Roman" w:cs="Times New Roman"/>
          <w:color w:val="auto"/>
          <w:highlight w:val="none"/>
          <w:lang w:val="en-US" w:eastAsia="zh-CN"/>
        </w:rPr>
        <w:t>经济</w:t>
      </w:r>
      <w:r>
        <w:rPr>
          <w:rFonts w:hint="default" w:ascii="Times New Roman" w:hAnsi="Times New Roman" w:cs="Times New Roman"/>
          <w:color w:val="auto"/>
          <w:highlight w:val="none"/>
        </w:rPr>
        <w:t>林、荒地，分别约占工程占地总面积的</w:t>
      </w:r>
      <w:r>
        <w:rPr>
          <w:rFonts w:hint="default" w:ascii="Times New Roman" w:hAnsi="Times New Roman" w:cs="Times New Roman"/>
          <w:color w:val="auto"/>
          <w:highlight w:val="none"/>
          <w:lang w:val="en-US" w:eastAsia="zh-CN"/>
        </w:rPr>
        <w:t>19.74</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21.03</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53.23</w:t>
      </w:r>
      <w:r>
        <w:rPr>
          <w:rFonts w:hint="default" w:ascii="Times New Roman" w:hAnsi="Times New Roman" w:cs="Times New Roman"/>
          <w:color w:val="auto"/>
          <w:highlight w:val="none"/>
        </w:rPr>
        <w:t>%；总用地面积中，永久占地5.21hm²，临时占地</w:t>
      </w:r>
      <w:r>
        <w:rPr>
          <w:rFonts w:hint="default" w:ascii="Times New Roman" w:hAnsi="Times New Roman" w:cs="Times New Roman"/>
          <w:color w:val="auto"/>
          <w:highlight w:val="none"/>
          <w:lang w:val="en-US" w:eastAsia="zh-CN"/>
        </w:rPr>
        <w:t>3.3</w:t>
      </w:r>
      <w:r>
        <w:rPr>
          <w:rFonts w:hint="default" w:ascii="Times New Roman" w:hAnsi="Times New Roman" w:cs="Times New Roman"/>
          <w:color w:val="auto"/>
          <w:highlight w:val="none"/>
        </w:rPr>
        <w:t>hm²</w:t>
      </w:r>
      <w:r>
        <w:rPr>
          <w:rFonts w:hint="default" w:ascii="Times New Roman" w:hAnsi="Times New Roman" w:cs="Times New Roman"/>
          <w:color w:val="auto"/>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2016年10月</w:t>
      </w:r>
      <w:r>
        <w:rPr>
          <w:rFonts w:hint="default" w:ascii="Times New Roman" w:hAnsi="Times New Roman" w:cs="Times New Roman"/>
          <w:color w:val="auto"/>
          <w:highlight w:val="none"/>
        </w:rPr>
        <w:t xml:space="preserve">建设单位委托我单位开展水土保持监测工作。项目实施期间，监测人员每季度开展一次现场监测、布设监测点 4 个，完成监测季报 </w:t>
      </w:r>
      <w:r>
        <w:rPr>
          <w:rFonts w:hint="default" w:ascii="Times New Roman" w:hAnsi="Times New Roman" w:cs="Times New Roman"/>
          <w:color w:val="auto"/>
          <w:highlight w:val="none"/>
          <w:lang w:val="en-US" w:eastAsia="zh-CN"/>
        </w:rPr>
        <w:t>1</w:t>
      </w:r>
      <w:r>
        <w:rPr>
          <w:rFonts w:hint="default" w:ascii="Times New Roman" w:hAnsi="Times New Roman" w:cs="Times New Roman"/>
          <w:color w:val="auto"/>
          <w:highlight w:val="none"/>
        </w:rPr>
        <w:t>期，监测总结报告 1 份。</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根据工程总体布置情况，结合各水土流失防治区内的水土流失特点，将项目的主体工程区分为主体工程区、</w:t>
      </w:r>
      <w:r>
        <w:rPr>
          <w:rFonts w:hint="default" w:ascii="Times New Roman" w:hAnsi="Times New Roman" w:cs="Times New Roman"/>
          <w:color w:val="auto"/>
          <w:highlight w:val="none"/>
          <w:lang w:val="en-US" w:eastAsia="zh-CN"/>
        </w:rPr>
        <w:t>附属设施</w:t>
      </w:r>
      <w:r>
        <w:rPr>
          <w:rFonts w:hint="default" w:ascii="Times New Roman" w:hAnsi="Times New Roman" w:cs="Times New Roman"/>
          <w:color w:val="auto"/>
          <w:highlight w:val="none"/>
        </w:rPr>
        <w:t>区、</w:t>
      </w:r>
      <w:r>
        <w:rPr>
          <w:rFonts w:hint="default" w:ascii="Times New Roman" w:hAnsi="Times New Roman" w:cs="Times New Roman"/>
          <w:color w:val="auto"/>
          <w:highlight w:val="none"/>
          <w:lang w:val="en-US" w:eastAsia="zh-CN"/>
        </w:rPr>
        <w:t>施工便道</w:t>
      </w:r>
      <w:r>
        <w:rPr>
          <w:rFonts w:hint="default" w:ascii="Times New Roman" w:hAnsi="Times New Roman" w:cs="Times New Roman"/>
          <w:color w:val="auto"/>
          <w:highlight w:val="none"/>
        </w:rPr>
        <w:t>区、</w:t>
      </w:r>
      <w:r>
        <w:rPr>
          <w:rFonts w:hint="default" w:ascii="Times New Roman" w:hAnsi="Times New Roman" w:cs="Times New Roman"/>
          <w:color w:val="auto"/>
          <w:highlight w:val="none"/>
          <w:lang w:val="en-US" w:eastAsia="zh-CN"/>
        </w:rPr>
        <w:t>施工生产生活</w:t>
      </w:r>
      <w:r>
        <w:rPr>
          <w:rFonts w:hint="default" w:ascii="Times New Roman" w:hAnsi="Times New Roman" w:cs="Times New Roman"/>
          <w:color w:val="auto"/>
          <w:highlight w:val="none"/>
        </w:rPr>
        <w:t>区</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取土场区、弃渣场区、临时堆土区</w:t>
      </w:r>
      <w:r>
        <w:rPr>
          <w:rFonts w:hint="default" w:ascii="Times New Roman" w:hAnsi="Times New Roman" w:cs="Times New Roman"/>
          <w:color w:val="auto"/>
          <w:highlight w:val="none"/>
        </w:rPr>
        <w:t xml:space="preserve"> </w:t>
      </w:r>
      <w:r>
        <w:rPr>
          <w:rFonts w:hint="default" w:ascii="Times New Roman" w:hAnsi="Times New Roman" w:cs="Times New Roman"/>
          <w:color w:val="auto"/>
          <w:highlight w:val="none"/>
          <w:lang w:val="en-US" w:eastAsia="zh-CN"/>
        </w:rPr>
        <w:t>7</w:t>
      </w:r>
      <w:r>
        <w:rPr>
          <w:rFonts w:hint="default" w:ascii="Times New Roman" w:hAnsi="Times New Roman" w:cs="Times New Roman"/>
          <w:color w:val="auto"/>
          <w:highlight w:val="none"/>
        </w:rPr>
        <w:t xml:space="preserve"> 个防治分区。</w:t>
      </w:r>
      <w:r>
        <w:rPr>
          <w:rFonts w:hint="default" w:ascii="Times New Roman" w:hAnsi="Times New Roman" w:cs="Times New Roman"/>
          <w:color w:val="auto"/>
          <w:highlight w:val="none"/>
          <w:lang w:val="en-US" w:eastAsia="zh-CN"/>
        </w:rPr>
        <w:br w:type="page"/>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color w:val="auto"/>
          <w:highlight w:val="none"/>
          <w:lang w:val="en-US" w:eastAsia="zh-CN"/>
        </w:rPr>
        <w:sectPr>
          <w:headerReference r:id="rId16" w:type="default"/>
          <w:footerReference r:id="rId17" w:type="default"/>
          <w:pgSz w:w="11906" w:h="16838"/>
          <w:pgMar w:top="1440" w:right="1440" w:bottom="1440" w:left="1440" w:header="851" w:footer="992" w:gutter="0"/>
          <w:pgBorders>
            <w:top w:val="none" w:sz="0" w:space="0"/>
            <w:left w:val="none" w:sz="0" w:space="0"/>
            <w:bottom w:val="none" w:sz="0" w:space="0"/>
            <w:right w:val="none" w:sz="0" w:space="0"/>
          </w:pgBorders>
          <w:pgNumType w:fmt="decimal" w:start="1"/>
          <w:cols w:space="425" w:num="1"/>
          <w:docGrid w:type="lines" w:linePitch="312" w:charSpace="0"/>
        </w:sectPr>
      </w:pPr>
    </w:p>
    <w:p>
      <w:pPr>
        <w:pStyle w:val="2"/>
        <w:bidi w:val="0"/>
        <w:spacing w:line="360" w:lineRule="auto"/>
        <w:jc w:val="left"/>
        <w:rPr>
          <w:rFonts w:hint="default" w:ascii="Times New Roman" w:hAnsi="Times New Roman" w:cs="Times New Roman"/>
          <w:color w:val="auto"/>
          <w:highlight w:val="none"/>
          <w:lang w:val="en-US" w:eastAsia="zh-CN"/>
        </w:rPr>
      </w:pPr>
      <w:bookmarkStart w:id="205" w:name="_Toc2203"/>
      <w:bookmarkStart w:id="206" w:name="_Toc18508"/>
      <w:bookmarkStart w:id="207" w:name="_Toc24917"/>
      <w:r>
        <w:rPr>
          <w:rFonts w:hint="default" w:ascii="Times New Roman" w:hAnsi="Times New Roman" w:cs="Times New Roman"/>
          <w:color w:val="auto"/>
          <w:highlight w:val="none"/>
          <w:lang w:val="en-US" w:eastAsia="zh-CN"/>
        </w:rPr>
        <w:t>1 建设项目及水土保持工作概况</w:t>
      </w:r>
      <w:bookmarkEnd w:id="205"/>
      <w:bookmarkEnd w:id="206"/>
      <w:bookmarkEnd w:id="207"/>
    </w:p>
    <w:p>
      <w:pPr>
        <w:pStyle w:val="3"/>
        <w:numPr>
          <w:ilvl w:val="1"/>
          <w:numId w:val="10"/>
        </w:numPr>
        <w:bidi w:val="0"/>
        <w:spacing w:line="360" w:lineRule="auto"/>
        <w:rPr>
          <w:rFonts w:hint="default" w:ascii="Times New Roman" w:hAnsi="Times New Roman" w:cs="Times New Roman"/>
          <w:color w:val="auto"/>
          <w:highlight w:val="none"/>
          <w:lang w:val="en-US" w:eastAsia="zh-CN"/>
        </w:rPr>
      </w:pPr>
      <w:bookmarkStart w:id="208" w:name="_Toc30360"/>
      <w:bookmarkStart w:id="209" w:name="_Toc56"/>
      <w:bookmarkStart w:id="210" w:name="_Toc20754"/>
      <w:bookmarkStart w:id="211" w:name="_Toc12994"/>
      <w:r>
        <w:rPr>
          <w:rFonts w:hint="default" w:ascii="Times New Roman" w:hAnsi="Times New Roman" w:cs="Times New Roman"/>
          <w:color w:val="auto"/>
          <w:highlight w:val="none"/>
          <w:lang w:val="en-US" w:eastAsia="zh-CN"/>
        </w:rPr>
        <w:t>项目概况</w:t>
      </w:r>
      <w:bookmarkEnd w:id="208"/>
      <w:bookmarkEnd w:id="209"/>
      <w:bookmarkEnd w:id="210"/>
      <w:bookmarkEnd w:id="211"/>
    </w:p>
    <w:p>
      <w:pPr>
        <w:pStyle w:val="4"/>
        <w:numPr>
          <w:ilvl w:val="2"/>
          <w:numId w:val="10"/>
        </w:numPr>
        <w:bidi w:val="0"/>
        <w:spacing w:line="360" w:lineRule="auto"/>
        <w:ind w:left="0" w:leftChars="0"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项目基本情况</w:t>
      </w:r>
    </w:p>
    <w:p>
      <w:pPr>
        <w:pStyle w:val="22"/>
        <w:spacing w:line="360" w:lineRule="auto"/>
        <w:ind w:firstLine="480"/>
        <w:rPr>
          <w:rFonts w:hint="default" w:ascii="Times New Roman" w:hAnsi="Times New Roman" w:cs="Times New Roman"/>
          <w:color w:val="auto"/>
          <w:highlight w:val="none"/>
        </w:rPr>
      </w:pPr>
      <w:r>
        <w:rPr>
          <w:rFonts w:hint="default" w:ascii="Times New Roman" w:hAnsi="Times New Roman" w:cs="Times New Roman"/>
          <w:color w:val="auto"/>
          <w:kern w:val="0"/>
          <w:highlight w:val="none"/>
        </w:rPr>
        <w:t>衡阳市华天路工程</w:t>
      </w:r>
      <w:r>
        <w:rPr>
          <w:rFonts w:hint="default" w:ascii="Times New Roman" w:hAnsi="Times New Roman" w:cs="Times New Roman"/>
          <w:color w:val="auto"/>
          <w:highlight w:val="none"/>
        </w:rPr>
        <w:t>，为衡阳市城市次干道，橡胶沥青混凝土路面，全长885m，道路宽30m，一块板型式，道路横断面设计为：3.0m（人行道）+2.5m（非机动车道）+2m（绿化带）+15m（车行道）+2m（绿化带）+2.5m（非机动车道）+3.0m（人行道）=30m，包括路基土石方开挖回填、路面工程、雨水污水给水排水工程、人行道工程、绿化亮化等，本项目总投资4975.35万元，资金来源：单位自筹解决。建设期为8个月。</w:t>
      </w:r>
    </w:p>
    <w:p>
      <w:pPr>
        <w:pStyle w:val="22"/>
        <w:spacing w:line="360" w:lineRule="auto"/>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工程需开挖土石方总量为</w:t>
      </w: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rPr>
        <w:t>02万m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，填方总量12.7</w:t>
      </w:r>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rPr>
        <w:t>万m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，借方12.74万m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沿线借方向规划渣场运得，设置施工生产场地1处。项目总占地</w:t>
      </w:r>
      <w:r>
        <w:rPr>
          <w:rFonts w:hint="default" w:ascii="Times New Roman" w:hAnsi="Times New Roman" w:cs="Times New Roman"/>
          <w:color w:val="auto"/>
          <w:highlight w:val="none"/>
          <w:lang w:val="en-US" w:eastAsia="zh-CN"/>
        </w:rPr>
        <w:t>8.51</w:t>
      </w:r>
      <w:r>
        <w:rPr>
          <w:rFonts w:hint="default" w:ascii="Times New Roman" w:hAnsi="Times New Roman" w:cs="Times New Roman"/>
          <w:color w:val="auto"/>
          <w:highlight w:val="none"/>
        </w:rPr>
        <w:t>hm²，主要原地貌类型为水塘、</w:t>
      </w:r>
      <w:r>
        <w:rPr>
          <w:rFonts w:hint="default" w:ascii="Times New Roman" w:hAnsi="Times New Roman" w:cs="Times New Roman"/>
          <w:color w:val="auto"/>
          <w:highlight w:val="none"/>
          <w:lang w:val="en-US" w:eastAsia="zh-CN"/>
        </w:rPr>
        <w:t>经济</w:t>
      </w:r>
      <w:r>
        <w:rPr>
          <w:rFonts w:hint="default" w:ascii="Times New Roman" w:hAnsi="Times New Roman" w:cs="Times New Roman"/>
          <w:color w:val="auto"/>
          <w:highlight w:val="none"/>
        </w:rPr>
        <w:t>林、荒地，分别约占工程占地总面积的</w:t>
      </w:r>
      <w:r>
        <w:rPr>
          <w:rFonts w:hint="default" w:ascii="Times New Roman" w:hAnsi="Times New Roman" w:cs="Times New Roman"/>
          <w:color w:val="auto"/>
          <w:highlight w:val="none"/>
          <w:lang w:val="en-US" w:eastAsia="zh-CN"/>
        </w:rPr>
        <w:t>19.74</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21.03</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53.23</w:t>
      </w:r>
      <w:r>
        <w:rPr>
          <w:rFonts w:hint="default" w:ascii="Times New Roman" w:hAnsi="Times New Roman" w:cs="Times New Roman"/>
          <w:color w:val="auto"/>
          <w:highlight w:val="none"/>
        </w:rPr>
        <w:t>%；总用地面积中，永久占地5.21hm²，临时占地</w:t>
      </w:r>
      <w:r>
        <w:rPr>
          <w:rFonts w:hint="default" w:ascii="Times New Roman" w:hAnsi="Times New Roman" w:cs="Times New Roman"/>
          <w:color w:val="auto"/>
          <w:highlight w:val="none"/>
          <w:lang w:val="en-US" w:eastAsia="zh-CN"/>
        </w:rPr>
        <w:t>3.3</w:t>
      </w:r>
      <w:r>
        <w:rPr>
          <w:rFonts w:hint="default" w:ascii="Times New Roman" w:hAnsi="Times New Roman" w:cs="Times New Roman"/>
          <w:color w:val="auto"/>
          <w:highlight w:val="none"/>
        </w:rPr>
        <w:t>hm²，本阶段工可报告中未涉及专项设施改建内容。</w:t>
      </w:r>
    </w:p>
    <w:p>
      <w:pPr>
        <w:pStyle w:val="22"/>
        <w:spacing w:line="360" w:lineRule="auto"/>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工程计划于2016年10月—2017年2月土石方、排水施工。2017年2月—6月路面、人行道、绿化亮化等。2017年7月路面交付使用。总工期8个月。总投资为4975.35万元，其中土建投资3187万元，资金来源通过建设单位自筹解决。</w:t>
      </w:r>
    </w:p>
    <w:p>
      <w:pPr>
        <w:pStyle w:val="4"/>
        <w:numPr>
          <w:ilvl w:val="2"/>
          <w:numId w:val="10"/>
        </w:numPr>
        <w:bidi w:val="0"/>
        <w:spacing w:line="360" w:lineRule="auto"/>
        <w:ind w:left="0" w:leftChars="0"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项目区概况</w:t>
      </w:r>
    </w:p>
    <w:p>
      <w:pPr>
        <w:numPr>
          <w:ilvl w:val="0"/>
          <w:numId w:val="11"/>
        </w:numPr>
        <w:spacing w:line="360" w:lineRule="auto"/>
        <w:ind w:left="0" w:leftChars="0" w:firstLine="0" w:firstLineChars="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地形地貌</w:t>
      </w:r>
    </w:p>
    <w:p>
      <w:pPr>
        <w:pStyle w:val="22"/>
        <w:spacing w:line="360" w:lineRule="auto"/>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shd w:val="clear" w:color="auto" w:fill="FFFFFF"/>
        </w:rPr>
        <w:t>衡阳处于中南地区凹形面轴带部分，周围环绕着古老宕层形成的断续环带的岭脊山地，内镶大面积白垩系和下第三系红层的红色丘陵台地，构成典型的盆地形势。</w:t>
      </w:r>
    </w:p>
    <w:p>
      <w:pPr>
        <w:pStyle w:val="22"/>
        <w:spacing w:line="360" w:lineRule="auto"/>
        <w:ind w:firstLine="480"/>
        <w:rPr>
          <w:rFonts w:hint="default" w:ascii="Times New Roman" w:hAnsi="Times New Roman" w:cs="Times New Roman"/>
          <w:bCs/>
          <w:color w:val="auto"/>
          <w:highlight w:val="none"/>
        </w:rPr>
      </w:pPr>
      <w:r>
        <w:rPr>
          <w:rFonts w:hint="default" w:ascii="Times New Roman" w:hAnsi="Times New Roman" w:cs="Times New Roman"/>
          <w:bCs/>
          <w:color w:val="auto"/>
          <w:highlight w:val="none"/>
        </w:rPr>
        <w:t>衡阳盆地南高北低，衡阳盆地南面地1000米以上的山连绵数十公里；衡阳盆地北面相对偏低，衡山山脉虽较高，但各峰呈峰林状屹立于中间，其东西两侧都有较低的向北通道，其东侧的湘江河谷两岸海拔高度均在100米以下。整个地形由西南向东北复合倾斜，而盆地由四周向中部降低。衡阳盆地四周山丘围绕，中部平岗丘交错。</w:t>
      </w:r>
    </w:p>
    <w:p>
      <w:pPr>
        <w:pStyle w:val="22"/>
        <w:numPr>
          <w:ilvl w:val="0"/>
          <w:numId w:val="11"/>
        </w:numPr>
        <w:spacing w:line="360" w:lineRule="auto"/>
        <w:ind w:left="425" w:leftChars="0" w:hanging="425" w:firstLineChars="0"/>
        <w:rPr>
          <w:rFonts w:hint="default" w:ascii="Times New Roman" w:hAnsi="Times New Roman" w:cs="Times New Roman"/>
          <w:bCs/>
          <w:color w:val="auto"/>
          <w:highlight w:val="none"/>
        </w:rPr>
      </w:pPr>
      <w:r>
        <w:rPr>
          <w:rFonts w:hint="default" w:ascii="Times New Roman" w:hAnsi="Times New Roman" w:cs="Times New Roman"/>
          <w:bCs/>
          <w:color w:val="auto"/>
          <w:highlight w:val="none"/>
          <w:lang w:val="en-US" w:eastAsia="zh-CN"/>
        </w:rPr>
        <w:t>气候气象</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衡阳市属于亚热带湿润气候，受季风环境影响明显，具有四季分明、气候温和、雨量充沛、热量丰富、光明适宜、无霜期长的气象特征。最高气温39.6℃，最低气温-10.7℃，年平均气温16.4℃；日平均气温≥10℃的活动积温4833～5258℃，全年日照时数为1480h，年最大降雨量1663mm，年平均降水1384.8mm，其中4～9月降水800～1200mm，10年一遇24小时最大降雨量为194.2mm，10年一遇3～6小时最大降雨量为154mm，20年一遇24小时最大降雨量为212mm，20年一遇3～6小时最大降雨量为160mm。无霜期288d，大风日数5.7d，积雪日数4.9d，雷暴日数47.6d，霜日数14.3d，最小相对湿度14％，平均相对湿度81％左右，全年主导风向NE，夏季主导风向SW，平均风速1.8m/s，瞬间最大风速20.7m/s。</w:t>
      </w:r>
    </w:p>
    <w:p>
      <w:pPr>
        <w:pStyle w:val="27"/>
        <w:spacing w:before="0" w:after="0" w:line="360" w:lineRule="auto"/>
        <w:ind w:firstLine="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r>
        <w:rPr>
          <w:rFonts w:hint="default" w:ascii="Times New Roman" w:hAnsi="Times New Roman" w:cs="Times New Roman"/>
          <w:bCs/>
          <w:color w:val="auto"/>
          <w:highlight w:val="none"/>
        </w:rPr>
        <w:t>项目区常规气象参数表</w:t>
      </w:r>
    </w:p>
    <w:tbl>
      <w:tblPr>
        <w:tblStyle w:val="19"/>
        <w:tblW w:w="0" w:type="auto"/>
        <w:jc w:val="center"/>
        <w:tblLayout w:type="fixed"/>
        <w:tblCellMar>
          <w:top w:w="0" w:type="dxa"/>
          <w:left w:w="108" w:type="dxa"/>
          <w:bottom w:w="0" w:type="dxa"/>
          <w:right w:w="108" w:type="dxa"/>
        </w:tblCellMar>
      </w:tblPr>
      <w:tblGrid>
        <w:gridCol w:w="1289"/>
        <w:gridCol w:w="4195"/>
        <w:gridCol w:w="1793"/>
        <w:gridCol w:w="1985"/>
      </w:tblGrid>
      <w:tr>
        <w:tblPrEx>
          <w:tblCellMar>
            <w:top w:w="0" w:type="dxa"/>
            <w:left w:w="108" w:type="dxa"/>
            <w:bottom w:w="0" w:type="dxa"/>
            <w:right w:w="108" w:type="dxa"/>
          </w:tblCellMar>
        </w:tblPrEx>
        <w:trPr>
          <w:trHeight w:val="415" w:hRule="atLeast"/>
          <w:jc w:val="center"/>
        </w:trPr>
        <w:tc>
          <w:tcPr>
            <w:tcW w:w="128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序号</w:t>
            </w:r>
          </w:p>
        </w:tc>
        <w:tc>
          <w:tcPr>
            <w:tcW w:w="4195"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项  目</w:t>
            </w:r>
          </w:p>
        </w:tc>
        <w:tc>
          <w:tcPr>
            <w:tcW w:w="1793"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单位</w:t>
            </w:r>
          </w:p>
        </w:tc>
        <w:tc>
          <w:tcPr>
            <w:tcW w:w="1985"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酃湖乡</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多年平均降水量</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mm</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1384.8</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2</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最大年降水量</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mm</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1663.0</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3</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最小年降水量</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mm</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841.2</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4</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最大24h降水量(P=10%)</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mm</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194.2</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5</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最大24h降水量(P=5%)</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mm</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211.8</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6</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最大1h降水量(P=10%)</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mm</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87.2</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7</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多年平均气温</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16.4</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8</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极端最低气温</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(10.7)</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9</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极端最高气温</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39.6</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10</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≥10 ℃积温</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4833~5258</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11</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无霜期</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天</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288.0</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12</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多年平均蒸发量</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mm</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1284.0</w:t>
            </w:r>
          </w:p>
        </w:tc>
      </w:tr>
      <w:tr>
        <w:tblPrEx>
          <w:tblCellMar>
            <w:top w:w="0" w:type="dxa"/>
            <w:left w:w="108" w:type="dxa"/>
            <w:bottom w:w="0" w:type="dxa"/>
            <w:right w:w="108" w:type="dxa"/>
          </w:tblCellMar>
        </w:tblPrEx>
        <w:trPr>
          <w:trHeight w:val="415" w:hRule="atLeast"/>
          <w:jc w:val="center"/>
        </w:trPr>
        <w:tc>
          <w:tcPr>
            <w:tcW w:w="128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13</w:t>
            </w:r>
          </w:p>
        </w:tc>
        <w:tc>
          <w:tcPr>
            <w:tcW w:w="419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多年平均风速</w:t>
            </w:r>
          </w:p>
        </w:tc>
        <w:tc>
          <w:tcPr>
            <w:tcW w:w="1793"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m/s</w:t>
            </w:r>
          </w:p>
        </w:tc>
        <w:tc>
          <w:tcPr>
            <w:tcW w:w="1985"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1.8</w:t>
            </w:r>
          </w:p>
        </w:tc>
      </w:tr>
      <w:tr>
        <w:tblPrEx>
          <w:tblCellMar>
            <w:top w:w="0" w:type="dxa"/>
            <w:left w:w="108" w:type="dxa"/>
            <w:bottom w:w="0" w:type="dxa"/>
            <w:right w:w="108" w:type="dxa"/>
          </w:tblCellMar>
        </w:tblPrEx>
        <w:trPr>
          <w:trHeight w:val="415" w:hRule="atLeast"/>
          <w:jc w:val="center"/>
        </w:trPr>
        <w:tc>
          <w:tcPr>
            <w:tcW w:w="1289"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14</w:t>
            </w:r>
          </w:p>
        </w:tc>
        <w:tc>
          <w:tcPr>
            <w:tcW w:w="4195"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最大风速</w:t>
            </w:r>
          </w:p>
        </w:tc>
        <w:tc>
          <w:tcPr>
            <w:tcW w:w="1793"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m/s</w:t>
            </w:r>
          </w:p>
        </w:tc>
        <w:tc>
          <w:tcPr>
            <w:tcW w:w="1985" w:type="dxa"/>
            <w:tcBorders>
              <w:top w:val="single" w:color="auto" w:sz="4" w:space="0"/>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20.7</w:t>
            </w:r>
          </w:p>
        </w:tc>
      </w:tr>
      <w:tr>
        <w:tblPrEx>
          <w:tblCellMar>
            <w:top w:w="0" w:type="dxa"/>
            <w:left w:w="108" w:type="dxa"/>
            <w:bottom w:w="0" w:type="dxa"/>
            <w:right w:w="108" w:type="dxa"/>
          </w:tblCellMar>
        </w:tblPrEx>
        <w:trPr>
          <w:trHeight w:val="415"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15</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多年平均大风日数</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天</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5.7</w:t>
            </w:r>
          </w:p>
        </w:tc>
      </w:tr>
      <w:tr>
        <w:tblPrEx>
          <w:tblCellMar>
            <w:top w:w="0" w:type="dxa"/>
            <w:left w:w="108" w:type="dxa"/>
            <w:bottom w:w="0" w:type="dxa"/>
            <w:right w:w="108" w:type="dxa"/>
          </w:tblCellMar>
        </w:tblPrEx>
        <w:trPr>
          <w:trHeight w:val="497"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16</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年平均相对湿度</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81.0</w:t>
            </w:r>
          </w:p>
        </w:tc>
      </w:tr>
      <w:tr>
        <w:tblPrEx>
          <w:tblCellMar>
            <w:top w:w="0" w:type="dxa"/>
            <w:left w:w="108" w:type="dxa"/>
            <w:bottom w:w="0" w:type="dxa"/>
            <w:right w:w="108" w:type="dxa"/>
          </w:tblCellMar>
        </w:tblPrEx>
        <w:trPr>
          <w:trHeight w:val="444" w:hRule="atLeast"/>
          <w:jc w:val="center"/>
        </w:trPr>
        <w:tc>
          <w:tcPr>
            <w:tcW w:w="1289" w:type="dxa"/>
            <w:tcBorders>
              <w:top w:val="nil"/>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17</w:t>
            </w:r>
          </w:p>
        </w:tc>
        <w:tc>
          <w:tcPr>
            <w:tcW w:w="419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年平均日照</w:t>
            </w:r>
          </w:p>
        </w:tc>
        <w:tc>
          <w:tcPr>
            <w:tcW w:w="1793"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小时</w:t>
            </w:r>
          </w:p>
        </w:tc>
        <w:tc>
          <w:tcPr>
            <w:tcW w:w="1985" w:type="dxa"/>
            <w:tcBorders>
              <w:top w:val="nil"/>
              <w:left w:val="nil"/>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r>
              <w:rPr>
                <w:rFonts w:hint="default" w:ascii="Times New Roman" w:hAnsi="Times New Roman" w:cs="Times New Roman"/>
                <w:color w:val="auto"/>
                <w:kern w:val="0"/>
                <w:sz w:val="21"/>
                <w:szCs w:val="21"/>
                <w:highlight w:val="none"/>
              </w:rPr>
              <w:t>1480.0</w:t>
            </w:r>
          </w:p>
        </w:tc>
      </w:tr>
    </w:tbl>
    <w:p>
      <w:pPr>
        <w:pStyle w:val="22"/>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水文</w:t>
      </w:r>
    </w:p>
    <w:p>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衡阳境内有河长5公里或流域面积10平方公里以上的江河溪流393条，总境长达8355公里，河网密度为每平方公里0.55公里。项目区建于湘江支流耒水下游段，酃湖保护圈内。</w:t>
      </w:r>
    </w:p>
    <w:p>
      <w:pPr>
        <w:pStyle w:val="22"/>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土壤与植被</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酃湖乡成土母岩以霞流市组茶山坳段陆相碎屑沉积岩为主，土壤呈弱酸性，类型以红壤、黄壤为主。土壤质地以砂壤、壤土为主。土层较深厚，排列紧密，比表面积大，透水性能差，易产生水土流失。项目区成土母岩主要为石灰岩和板页岩，成土厚薄约2～5m，土壤以黄壤、红壤、黄红壤为主。</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项目区植被类型属中亚热带常绿阔叶林地带，森林覆盖率达到62.78%，是我国南方的重要林区和木材生产基地。林木种类繁多，乔木、灌木、木质滕本达740余种，其中属国家重点保护的有39种。有果类72个品种，四季水果飘香，年产量达700多万担。全市有各种药用植物1700多种，其中茯苓、天麻产量为全省第一，茯苓出口量占全国出口量的60%以上。树种主要为马尾松、杉木等，灌草主要为紫穗槐、胡枝子、狗牙根等。</w:t>
      </w:r>
    </w:p>
    <w:p>
      <w:pPr>
        <w:pStyle w:val="22"/>
        <w:keepNext w:val="0"/>
        <w:keepLines w:val="0"/>
        <w:pageBreakBefore w:val="0"/>
        <w:widowControl w:val="0"/>
        <w:numPr>
          <w:ilvl w:val="0"/>
          <w:numId w:val="11"/>
        </w:numPr>
        <w:kinsoku/>
        <w:wordWrap/>
        <w:overflowPunct/>
        <w:topLinePunct w:val="0"/>
        <w:autoSpaceDE/>
        <w:autoSpaceDN/>
        <w:bidi w:val="0"/>
        <w:adjustRightInd/>
        <w:snapToGrid/>
        <w:spacing w:line="360" w:lineRule="auto"/>
        <w:ind w:left="425" w:leftChars="0" w:hanging="425" w:firstLineChars="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水土流失现状</w:t>
      </w:r>
    </w:p>
    <w:p>
      <w:pPr>
        <w:pStyle w:val="22"/>
        <w:spacing w:line="360" w:lineRule="auto"/>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根据《关于划分水土流失重点防治区的公告》（湘政函[1999]115号），本项目建设区湘中红壤丘陵重点治理区，土壤侵蚀以中度或轻度水力侵蚀为主，属水力侵蚀一级类型区中的南方红壤区，该区土壤容许流失量为500t/km²•a。</w:t>
      </w:r>
    </w:p>
    <w:p>
      <w:pPr>
        <w:pStyle w:val="22"/>
        <w:spacing w:line="360" w:lineRule="auto"/>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据湖南省第二次土壤侵蚀遥感调查成果显示，酃湖乡轻度侵蚀以上水土流失面积达125.77 km²；占土地总面积16.64%。其中轻度侵蚀48.19 km²，占土地总面积6.37%；中度侵蚀65.33km²，占土地总面积8.65%；强度侵蚀12.25 km²，占土地总面积1.62%。详见酃湖乡水土流失情况表。</w:t>
      </w:r>
    </w:p>
    <w:p>
      <w:pPr>
        <w:pStyle w:val="22"/>
        <w:spacing w:line="360" w:lineRule="auto"/>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本项目区土壤侵蚀以水力侵蚀为主，局部地区存在着重力侵蚀，流失形式有片蚀、沟蚀、崩岗等，其中以片蚀侵蚀为主。</w:t>
      </w:r>
    </w:p>
    <w:p>
      <w:pPr>
        <w:pStyle w:val="27"/>
        <w:spacing w:before="0" w:after="0" w:line="360" w:lineRule="auto"/>
        <w:ind w:firstLine="0"/>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w:t>
      </w:r>
      <w:r>
        <w:rPr>
          <w:rFonts w:hint="default" w:ascii="Times New Roman" w:hAnsi="Times New Roman" w:cs="Times New Roman"/>
          <w:color w:val="auto"/>
          <w:szCs w:val="28"/>
          <w:highlight w:val="none"/>
        </w:rPr>
        <w:t>酃湖乡水土流失情况表</w:t>
      </w:r>
    </w:p>
    <w:tbl>
      <w:tblPr>
        <w:tblStyle w:val="19"/>
        <w:tblW w:w="0" w:type="auto"/>
        <w:jc w:val="center"/>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80"/>
        <w:gridCol w:w="990"/>
        <w:gridCol w:w="842"/>
        <w:gridCol w:w="943"/>
        <w:gridCol w:w="943"/>
        <w:gridCol w:w="943"/>
        <w:gridCol w:w="792"/>
        <w:gridCol w:w="956"/>
        <w:gridCol w:w="943"/>
        <w:gridCol w:w="943"/>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80" w:type="dxa"/>
            <w:vMerge w:val="restart"/>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县域</w:t>
            </w:r>
          </w:p>
        </w:tc>
        <w:tc>
          <w:tcPr>
            <w:tcW w:w="990" w:type="dxa"/>
            <w:vMerge w:val="restart"/>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轻度以上流失面积(km²)</w:t>
            </w:r>
          </w:p>
        </w:tc>
        <w:tc>
          <w:tcPr>
            <w:tcW w:w="7305" w:type="dxa"/>
            <w:gridSpan w:val="8"/>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各级强度土壤侵蚀面积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p>
        </w:tc>
        <w:tc>
          <w:tcPr>
            <w:tcW w:w="9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p>
        </w:tc>
        <w:tc>
          <w:tcPr>
            <w:tcW w:w="1785" w:type="dxa"/>
            <w:gridSpan w:val="2"/>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微度</w:t>
            </w:r>
          </w:p>
        </w:tc>
        <w:tc>
          <w:tcPr>
            <w:tcW w:w="1886" w:type="dxa"/>
            <w:gridSpan w:val="2"/>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轻  度</w:t>
            </w:r>
          </w:p>
        </w:tc>
        <w:tc>
          <w:tcPr>
            <w:tcW w:w="1748" w:type="dxa"/>
            <w:gridSpan w:val="2"/>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中  度</w:t>
            </w:r>
          </w:p>
        </w:tc>
        <w:tc>
          <w:tcPr>
            <w:tcW w:w="1886" w:type="dxa"/>
            <w:gridSpan w:val="2"/>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强  度</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8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p>
        </w:tc>
        <w:tc>
          <w:tcPr>
            <w:tcW w:w="99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spacing w:line="360" w:lineRule="auto"/>
              <w:jc w:val="center"/>
              <w:rPr>
                <w:rFonts w:hint="default" w:ascii="Times New Roman" w:hAnsi="Times New Roman" w:cs="Times New Roman"/>
                <w:color w:val="auto"/>
                <w:kern w:val="0"/>
                <w:sz w:val="21"/>
                <w:szCs w:val="21"/>
                <w:highlight w:val="none"/>
              </w:rPr>
            </w:pPr>
          </w:p>
        </w:tc>
        <w:tc>
          <w:tcPr>
            <w:tcW w:w="842"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流失面积(km²)</w:t>
            </w:r>
          </w:p>
        </w:tc>
        <w:tc>
          <w:tcPr>
            <w:tcW w:w="943"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占流失总面积(％)</w:t>
            </w:r>
          </w:p>
        </w:tc>
        <w:tc>
          <w:tcPr>
            <w:tcW w:w="943"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流失面积(km²)</w:t>
            </w:r>
          </w:p>
        </w:tc>
        <w:tc>
          <w:tcPr>
            <w:tcW w:w="943"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占流失总面积(％)</w:t>
            </w:r>
          </w:p>
        </w:tc>
        <w:tc>
          <w:tcPr>
            <w:tcW w:w="792"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流失面积(km²)</w:t>
            </w:r>
          </w:p>
        </w:tc>
        <w:tc>
          <w:tcPr>
            <w:tcW w:w="956"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占流失总面积(％)</w:t>
            </w:r>
          </w:p>
        </w:tc>
        <w:tc>
          <w:tcPr>
            <w:tcW w:w="943"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流失面积(km²)</w:t>
            </w:r>
          </w:p>
        </w:tc>
        <w:tc>
          <w:tcPr>
            <w:tcW w:w="943"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占流失总面积(％)</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CellMar>
            <w:top w:w="0" w:type="dxa"/>
            <w:left w:w="108" w:type="dxa"/>
            <w:bottom w:w="0" w:type="dxa"/>
            <w:right w:w="108" w:type="dxa"/>
          </w:tblCellMar>
        </w:tblPrEx>
        <w:trPr>
          <w:cantSplit/>
          <w:trHeight w:val="397" w:hRule="atLeast"/>
          <w:jc w:val="center"/>
        </w:trPr>
        <w:tc>
          <w:tcPr>
            <w:tcW w:w="880"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酃湖乡</w:t>
            </w:r>
          </w:p>
        </w:tc>
        <w:tc>
          <w:tcPr>
            <w:tcW w:w="990"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125.77</w:t>
            </w:r>
          </w:p>
        </w:tc>
        <w:tc>
          <w:tcPr>
            <w:tcW w:w="842"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629.87</w:t>
            </w:r>
          </w:p>
        </w:tc>
        <w:tc>
          <w:tcPr>
            <w:tcW w:w="943"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83.36</w:t>
            </w:r>
          </w:p>
        </w:tc>
        <w:tc>
          <w:tcPr>
            <w:tcW w:w="943"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48.19</w:t>
            </w:r>
          </w:p>
        </w:tc>
        <w:tc>
          <w:tcPr>
            <w:tcW w:w="943"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6.37</w:t>
            </w:r>
          </w:p>
        </w:tc>
        <w:tc>
          <w:tcPr>
            <w:tcW w:w="792"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65.33</w:t>
            </w:r>
          </w:p>
        </w:tc>
        <w:tc>
          <w:tcPr>
            <w:tcW w:w="956"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8.65</w:t>
            </w:r>
          </w:p>
        </w:tc>
        <w:tc>
          <w:tcPr>
            <w:tcW w:w="943"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12.25</w:t>
            </w:r>
          </w:p>
        </w:tc>
        <w:tc>
          <w:tcPr>
            <w:tcW w:w="943" w:type="dxa"/>
            <w:tcBorders>
              <w:top w:val="single" w:color="auto" w:sz="4" w:space="0"/>
              <w:left w:val="single" w:color="auto" w:sz="4" w:space="0"/>
              <w:bottom w:val="single" w:color="auto" w:sz="4" w:space="0"/>
              <w:right w:val="single" w:color="auto" w:sz="4" w:space="0"/>
            </w:tcBorders>
            <w:noWrap w:val="0"/>
            <w:vAlign w:val="center"/>
          </w:tcPr>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1.62</w:t>
            </w:r>
          </w:p>
        </w:tc>
      </w:tr>
    </w:tbl>
    <w:p>
      <w:pPr>
        <w:pStyle w:val="3"/>
        <w:bidi w:val="0"/>
        <w:rPr>
          <w:rFonts w:hint="default" w:ascii="Times New Roman" w:hAnsi="Times New Roman" w:eastAsia="黑体" w:cs="Times New Roman"/>
          <w:color w:val="auto"/>
          <w:highlight w:val="none"/>
          <w:lang w:val="en-US" w:eastAsia="zh-CN"/>
        </w:rPr>
      </w:pPr>
      <w:bookmarkStart w:id="212" w:name="_Toc1921"/>
      <w:bookmarkStart w:id="213" w:name="_Toc32519"/>
      <w:bookmarkStart w:id="214" w:name="_Toc2758"/>
      <w:bookmarkStart w:id="215" w:name="_Toc18153"/>
      <w:r>
        <w:rPr>
          <w:rFonts w:hint="default" w:ascii="Times New Roman" w:hAnsi="Times New Roman" w:cs="Times New Roman"/>
          <w:color w:val="auto"/>
          <w:highlight w:val="none"/>
          <w:lang w:val="en-US" w:eastAsia="zh-CN"/>
        </w:rPr>
        <w:t>1.2 水土保持工作情况</w:t>
      </w:r>
      <w:bookmarkEnd w:id="212"/>
      <w:bookmarkEnd w:id="213"/>
      <w:bookmarkEnd w:id="214"/>
      <w:bookmarkEnd w:id="215"/>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1.2.1 水土保持方案编报</w:t>
      </w:r>
    </w:p>
    <w:p>
      <w:pPr>
        <w:pStyle w:val="8"/>
        <w:keepNext w:val="0"/>
        <w:keepLines w:val="0"/>
        <w:pageBreakBefore w:val="0"/>
        <w:widowControl w:val="0"/>
        <w:kinsoku/>
        <w:wordWrap/>
        <w:overflowPunct/>
        <w:topLinePunct w:val="0"/>
        <w:autoSpaceDE/>
        <w:autoSpaceDN/>
        <w:bidi w:val="0"/>
        <w:adjustRightInd/>
        <w:snapToGrid/>
        <w:spacing w:line="360" w:lineRule="auto"/>
        <w:ind w:right="0" w:firstLine="476"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1"/>
          <w:highlight w:val="none"/>
          <w:lang w:val="en-US" w:eastAsia="zh-CN"/>
        </w:rPr>
        <w:t>2016</w:t>
      </w:r>
      <w:r>
        <w:rPr>
          <w:rFonts w:hint="default" w:ascii="Times New Roman" w:hAnsi="Times New Roman" w:cs="Times New Roman"/>
          <w:color w:val="auto"/>
          <w:spacing w:val="-1"/>
          <w:highlight w:val="none"/>
        </w:rPr>
        <w:t>年，湖南</w:t>
      </w:r>
      <w:r>
        <w:rPr>
          <w:rFonts w:hint="default" w:ascii="Times New Roman" w:hAnsi="Times New Roman" w:cs="Times New Roman"/>
          <w:color w:val="auto"/>
          <w:spacing w:val="-1"/>
          <w:highlight w:val="none"/>
          <w:lang w:val="en-US" w:eastAsia="zh-CN"/>
        </w:rPr>
        <w:t>华意项目管理有限公司</w:t>
      </w:r>
      <w:r>
        <w:rPr>
          <w:rFonts w:hint="default" w:ascii="Times New Roman" w:hAnsi="Times New Roman" w:cs="Times New Roman"/>
          <w:color w:val="auto"/>
          <w:spacing w:val="-1"/>
          <w:highlight w:val="none"/>
        </w:rPr>
        <w:t>接到湖南株冶有色金属有限公司的委</w:t>
      </w:r>
      <w:r>
        <w:rPr>
          <w:rFonts w:hint="default" w:ascii="Times New Roman" w:hAnsi="Times New Roman" w:cs="Times New Roman"/>
          <w:color w:val="auto"/>
          <w:highlight w:val="none"/>
        </w:rPr>
        <w:t>托，承担本项目的水土保持方案编制工作。</w:t>
      </w:r>
      <w:r>
        <w:rPr>
          <w:rFonts w:hint="default" w:ascii="Times New Roman" w:hAnsi="Times New Roman" w:eastAsia="Times New Roman" w:cs="Times New Roman"/>
          <w:color w:val="auto"/>
          <w:highlight w:val="none"/>
        </w:rPr>
        <w:t>201</w:t>
      </w:r>
      <w:r>
        <w:rPr>
          <w:rFonts w:hint="default" w:ascii="Times New Roman" w:hAnsi="Times New Roman" w:eastAsia="宋体" w:cs="Times New Roman"/>
          <w:color w:val="auto"/>
          <w:highlight w:val="none"/>
          <w:lang w:val="en-US" w:eastAsia="zh-CN"/>
        </w:rPr>
        <w:t>6</w:t>
      </w:r>
      <w:r>
        <w:rPr>
          <w:rFonts w:hint="default" w:ascii="Times New Roman" w:hAnsi="Times New Roman" w:eastAsia="Times New Roman" w:cs="Times New Roman"/>
          <w:color w:val="auto"/>
          <w:highlight w:val="none"/>
        </w:rPr>
        <w:t xml:space="preserve"> </w:t>
      </w:r>
      <w:r>
        <w:rPr>
          <w:rFonts w:hint="default" w:ascii="Times New Roman" w:hAnsi="Times New Roman" w:cs="Times New Roman"/>
          <w:color w:val="auto"/>
          <w:spacing w:val="-30"/>
          <w:highlight w:val="none"/>
        </w:rPr>
        <w:t xml:space="preserve">年 </w:t>
      </w:r>
      <w:r>
        <w:rPr>
          <w:rFonts w:hint="default" w:ascii="Times New Roman" w:hAnsi="Times New Roman" w:eastAsia="宋体" w:cs="Times New Roman"/>
          <w:color w:val="auto"/>
          <w:highlight w:val="none"/>
          <w:lang w:val="en-US" w:eastAsia="zh-CN"/>
        </w:rPr>
        <w:t>8</w:t>
      </w:r>
      <w:r>
        <w:rPr>
          <w:rFonts w:hint="default" w:ascii="Times New Roman" w:hAnsi="Times New Roman" w:eastAsia="Times New Roman" w:cs="Times New Roman"/>
          <w:color w:val="auto"/>
          <w:highlight w:val="none"/>
        </w:rPr>
        <w:t xml:space="preserve"> </w:t>
      </w:r>
      <w:r>
        <w:rPr>
          <w:rFonts w:hint="default" w:ascii="Times New Roman" w:hAnsi="Times New Roman" w:cs="Times New Roman"/>
          <w:color w:val="auto"/>
          <w:spacing w:val="-12"/>
          <w:highlight w:val="none"/>
        </w:rPr>
        <w:t>月底，编制完成《</w:t>
      </w:r>
      <w:r>
        <w:rPr>
          <w:rFonts w:hint="default" w:ascii="Times New Roman" w:hAnsi="Times New Roman" w:cs="Times New Roman"/>
          <w:color w:val="auto"/>
          <w:spacing w:val="-12"/>
          <w:highlight w:val="none"/>
          <w:lang w:val="en-US" w:eastAsia="zh-CN"/>
        </w:rPr>
        <w:t>华天路新建工程</w:t>
      </w:r>
      <w:r>
        <w:rPr>
          <w:rFonts w:hint="default" w:ascii="Times New Roman" w:hAnsi="Times New Roman" w:cs="Times New Roman"/>
          <w:color w:val="auto"/>
          <w:spacing w:val="-2"/>
          <w:highlight w:val="none"/>
        </w:rPr>
        <w:t>项目水土保持方案报告书》</w:t>
      </w:r>
      <w:r>
        <w:rPr>
          <w:rFonts w:hint="default" w:ascii="Times New Roman" w:hAnsi="Times New Roman" w:cs="Times New Roman"/>
          <w:color w:val="auto"/>
          <w:highlight w:val="none"/>
        </w:rPr>
        <w:t>（送审稿</w:t>
      </w:r>
      <w:r>
        <w:rPr>
          <w:rFonts w:hint="default" w:ascii="Times New Roman" w:hAnsi="Times New Roman" w:cs="Times New Roman"/>
          <w:color w:val="auto"/>
          <w:spacing w:val="-17"/>
          <w:highlight w:val="none"/>
        </w:rPr>
        <w:t>）</w:t>
      </w:r>
      <w:r>
        <w:rPr>
          <w:rFonts w:hint="default" w:ascii="Times New Roman" w:hAnsi="Times New Roman" w:cs="Times New Roman"/>
          <w:color w:val="auto"/>
          <w:highlight w:val="none"/>
        </w:rPr>
        <w:t>。</w:t>
      </w:r>
      <w:r>
        <w:rPr>
          <w:rFonts w:hint="default" w:ascii="Times New Roman" w:hAnsi="Times New Roman" w:eastAsia="Times New Roman" w:cs="Times New Roman"/>
          <w:color w:val="auto"/>
          <w:highlight w:val="none"/>
        </w:rPr>
        <w:t>201</w:t>
      </w:r>
      <w:r>
        <w:rPr>
          <w:rFonts w:hint="default" w:ascii="Times New Roman" w:hAnsi="Times New Roman" w:eastAsia="宋体" w:cs="Times New Roman"/>
          <w:color w:val="auto"/>
          <w:highlight w:val="none"/>
          <w:lang w:val="en-US" w:eastAsia="zh-CN"/>
        </w:rPr>
        <w:t>6</w:t>
      </w:r>
      <w:r>
        <w:rPr>
          <w:rFonts w:hint="default" w:ascii="Times New Roman" w:hAnsi="Times New Roman" w:eastAsia="Times New Roman" w:cs="Times New Roman"/>
          <w:color w:val="auto"/>
          <w:highlight w:val="none"/>
        </w:rPr>
        <w:t xml:space="preserve"> </w:t>
      </w:r>
      <w:r>
        <w:rPr>
          <w:rFonts w:hint="default" w:ascii="Times New Roman" w:hAnsi="Times New Roman" w:cs="Times New Roman"/>
          <w:color w:val="auto"/>
          <w:spacing w:val="-30"/>
          <w:highlight w:val="none"/>
        </w:rPr>
        <w:t xml:space="preserve">年 </w:t>
      </w:r>
      <w:r>
        <w:rPr>
          <w:rFonts w:hint="default" w:ascii="Times New Roman" w:hAnsi="Times New Roman" w:eastAsia="宋体" w:cs="Times New Roman"/>
          <w:color w:val="auto"/>
          <w:spacing w:val="-13"/>
          <w:highlight w:val="none"/>
          <w:lang w:val="en-US" w:eastAsia="zh-CN"/>
        </w:rPr>
        <w:t>10</w:t>
      </w:r>
      <w:r>
        <w:rPr>
          <w:rFonts w:hint="default" w:ascii="Times New Roman" w:hAnsi="Times New Roman" w:cs="Times New Roman"/>
          <w:color w:val="auto"/>
          <w:highlight w:val="none"/>
        </w:rPr>
        <w:t>月，完成报批稿。</w:t>
      </w:r>
      <w:r>
        <w:rPr>
          <w:rFonts w:hint="default" w:ascii="Times New Roman" w:hAnsi="Times New Roman" w:eastAsia="Times New Roman" w:cs="Times New Roman"/>
          <w:color w:val="auto"/>
          <w:highlight w:val="none"/>
        </w:rPr>
        <w:t>201</w:t>
      </w:r>
      <w:r>
        <w:rPr>
          <w:rFonts w:hint="default" w:ascii="Times New Roman" w:hAnsi="Times New Roman" w:eastAsia="宋体" w:cs="Times New Roman"/>
          <w:color w:val="auto"/>
          <w:highlight w:val="none"/>
          <w:lang w:val="en-US" w:eastAsia="zh-CN"/>
        </w:rPr>
        <w:t>6</w:t>
      </w:r>
      <w:r>
        <w:rPr>
          <w:rFonts w:hint="default" w:ascii="Times New Roman" w:hAnsi="Times New Roman" w:eastAsia="Times New Roman" w:cs="Times New Roman"/>
          <w:color w:val="auto"/>
          <w:spacing w:val="-22"/>
          <w:highlight w:val="none"/>
        </w:rPr>
        <w:t xml:space="preserve"> </w:t>
      </w:r>
      <w:r>
        <w:rPr>
          <w:rFonts w:hint="default" w:ascii="Times New Roman" w:hAnsi="Times New Roman" w:eastAsia="仿宋" w:cs="Times New Roman"/>
          <w:color w:val="auto"/>
          <w:spacing w:val="-22"/>
          <w:highlight w:val="none"/>
          <w:lang w:val="en-US" w:eastAsia="zh-CN"/>
        </w:rPr>
        <w:t>年</w:t>
      </w:r>
      <w:r>
        <w:rPr>
          <w:rFonts w:hint="default" w:ascii="Times New Roman" w:hAnsi="Times New Roman" w:eastAsia="宋体" w:cs="Times New Roman"/>
          <w:color w:val="auto"/>
          <w:highlight w:val="none"/>
          <w:lang w:val="en-US" w:eastAsia="zh-CN"/>
        </w:rPr>
        <w:t>9</w:t>
      </w:r>
      <w:r>
        <w:rPr>
          <w:rFonts w:hint="default" w:ascii="Times New Roman" w:hAnsi="Times New Roman" w:eastAsia="Times New Roman" w:cs="Times New Roman"/>
          <w:color w:val="auto"/>
          <w:spacing w:val="-22"/>
          <w:highlight w:val="none"/>
        </w:rPr>
        <w:t xml:space="preserve"> </w:t>
      </w:r>
      <w:r>
        <w:rPr>
          <w:rFonts w:hint="default" w:ascii="Times New Roman" w:hAnsi="Times New Roman" w:cs="Times New Roman"/>
          <w:color w:val="auto"/>
          <w:spacing w:val="38"/>
          <w:highlight w:val="none"/>
        </w:rPr>
        <w:t>月</w:t>
      </w:r>
      <w:r>
        <w:rPr>
          <w:rFonts w:hint="default" w:ascii="Times New Roman" w:hAnsi="Times New Roman" w:cs="Times New Roman"/>
          <w:color w:val="auto"/>
          <w:spacing w:val="38"/>
          <w:highlight w:val="none"/>
          <w:lang w:val="en-US" w:eastAsia="zh-CN"/>
        </w:rPr>
        <w:t>27</w:t>
      </w:r>
      <w:r>
        <w:rPr>
          <w:rFonts w:hint="default" w:ascii="Times New Roman" w:hAnsi="Times New Roman" w:eastAsia="Times New Roman" w:cs="Times New Roman"/>
          <w:color w:val="auto"/>
          <w:spacing w:val="-23"/>
          <w:highlight w:val="none"/>
        </w:rPr>
        <w:t xml:space="preserve"> </w:t>
      </w:r>
      <w:r>
        <w:rPr>
          <w:rFonts w:hint="default" w:ascii="Times New Roman" w:hAnsi="Times New Roman" w:cs="Times New Roman"/>
          <w:color w:val="auto"/>
          <w:spacing w:val="-1"/>
          <w:highlight w:val="none"/>
        </w:rPr>
        <w:t>日，衡阳市水利局对本项目水土保持方案进行了批复，</w:t>
      </w:r>
      <w:r>
        <w:rPr>
          <w:rFonts w:hint="default" w:ascii="Times New Roman" w:hAnsi="Times New Roman" w:cs="Times New Roman"/>
          <w:color w:val="auto"/>
          <w:spacing w:val="-8"/>
          <w:highlight w:val="none"/>
        </w:rPr>
        <w:t>并出具了批文《关于五矿有色控股铜铅锌产业基地铅改造及稀贵综合回收项目水土保持</w:t>
      </w:r>
      <w:r>
        <w:rPr>
          <w:rFonts w:hint="default" w:ascii="Times New Roman" w:hAnsi="Times New Roman" w:cs="Times New Roman"/>
          <w:color w:val="auto"/>
          <w:highlight w:val="none"/>
        </w:rPr>
        <w:t>方案的批复》（衡水许〔</w:t>
      </w:r>
      <w:r>
        <w:rPr>
          <w:rFonts w:hint="default" w:ascii="Times New Roman" w:hAnsi="Times New Roman" w:eastAsia="Times New Roman" w:cs="Times New Roman"/>
          <w:color w:val="auto"/>
          <w:highlight w:val="none"/>
        </w:rPr>
        <w:t>201</w:t>
      </w:r>
      <w:r>
        <w:rPr>
          <w:rFonts w:hint="default" w:ascii="Times New Roman" w:hAnsi="Times New Roman" w:eastAsia="宋体" w:cs="Times New Roman"/>
          <w:color w:val="auto"/>
          <w:highlight w:val="none"/>
          <w:lang w:val="en-US" w:eastAsia="zh-CN"/>
        </w:rPr>
        <w:t>6</w:t>
      </w:r>
      <w:r>
        <w:rPr>
          <w:rFonts w:hint="default" w:ascii="Times New Roman" w:hAnsi="Times New Roman" w:cs="Times New Roman"/>
          <w:color w:val="auto"/>
          <w:highlight w:val="none"/>
        </w:rPr>
        <w:t>〕</w:t>
      </w:r>
      <w:r>
        <w:rPr>
          <w:rFonts w:hint="default" w:ascii="Times New Roman" w:hAnsi="Times New Roman" w:eastAsia="宋体" w:cs="Times New Roman"/>
          <w:color w:val="auto"/>
          <w:highlight w:val="none"/>
          <w:lang w:val="en-US" w:eastAsia="zh-CN"/>
        </w:rPr>
        <w:t>3</w:t>
      </w:r>
      <w:r>
        <w:rPr>
          <w:rFonts w:hint="default" w:ascii="Times New Roman" w:hAnsi="Times New Roman" w:eastAsia="Times New Roman" w:cs="Times New Roman"/>
          <w:color w:val="auto"/>
          <w:highlight w:val="none"/>
        </w:rPr>
        <w:t xml:space="preserve">4 </w:t>
      </w:r>
      <w:r>
        <w:rPr>
          <w:rFonts w:hint="default" w:ascii="Times New Roman" w:hAnsi="Times New Roman" w:cs="Times New Roman"/>
          <w:color w:val="auto"/>
          <w:highlight w:val="none"/>
        </w:rPr>
        <w:t>号）。</w:t>
      </w:r>
    </w:p>
    <w:p>
      <w:pPr>
        <w:pStyle w:val="4"/>
        <w:bidi w:val="0"/>
        <w:spacing w:line="360" w:lineRule="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1.2.2 水土保持方案变更</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本工程不涉及水土保持重大变更。</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1.2.3 水土保持管理</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3"/>
          <w:highlight w:val="none"/>
        </w:rPr>
        <w:t>本工程的相关参建单位如下：建设单位为</w:t>
      </w:r>
      <w:r>
        <w:rPr>
          <w:rFonts w:hint="default" w:ascii="Times New Roman" w:hAnsi="Times New Roman" w:cs="Times New Roman"/>
          <w:color w:val="auto"/>
          <w:spacing w:val="-3"/>
          <w:highlight w:val="none"/>
          <w:lang w:val="en-US" w:eastAsia="zh-CN"/>
        </w:rPr>
        <w:t>衡阳城市建设投资</w:t>
      </w:r>
      <w:r>
        <w:rPr>
          <w:rFonts w:hint="default" w:ascii="Times New Roman" w:hAnsi="Times New Roman" w:cs="Times New Roman"/>
          <w:color w:val="auto"/>
          <w:spacing w:val="-3"/>
          <w:highlight w:val="none"/>
        </w:rPr>
        <w:t>有限公司，设计单位为</w:t>
      </w:r>
      <w:r>
        <w:rPr>
          <w:rFonts w:hint="default" w:ascii="Times New Roman" w:hAnsi="Times New Roman" w:cs="Times New Roman"/>
          <w:color w:val="auto"/>
          <w:spacing w:val="-3"/>
          <w:highlight w:val="none"/>
          <w:lang w:val="en-US" w:eastAsia="zh-CN"/>
        </w:rPr>
        <w:t>中誉设计院</w:t>
      </w:r>
      <w:r>
        <w:rPr>
          <w:rFonts w:hint="default" w:ascii="Times New Roman" w:hAnsi="Times New Roman" w:cs="Times New Roman"/>
          <w:color w:val="auto"/>
          <w:spacing w:val="-7"/>
          <w:position w:val="-1"/>
          <w:highlight w:val="none"/>
        </w:rPr>
        <w:t>有限公司，</w:t>
      </w:r>
      <w:r>
        <w:rPr>
          <w:rFonts w:hint="default" w:ascii="Times New Roman" w:hAnsi="Times New Roman" w:cs="Times New Roman"/>
          <w:color w:val="auto"/>
          <w:highlight w:val="none"/>
        </w:rPr>
        <w:t>水土保持施工单位为</w:t>
      </w:r>
      <w:r>
        <w:rPr>
          <w:rFonts w:hint="default" w:ascii="Times New Roman" w:hAnsi="Times New Roman" w:cs="Times New Roman"/>
          <w:color w:val="auto"/>
          <w:highlight w:val="none"/>
          <w:lang w:val="en-US" w:eastAsia="zh-CN"/>
        </w:rPr>
        <w:t>中南设计集团有限公司</w:t>
      </w:r>
      <w:r>
        <w:rPr>
          <w:rFonts w:hint="default" w:ascii="Times New Roman" w:hAnsi="Times New Roman" w:cs="Times New Roman"/>
          <w:color w:val="auto"/>
          <w:position w:val="2"/>
          <w:highlight w:val="none"/>
        </w:rPr>
        <w:t>，</w:t>
      </w:r>
      <w:r>
        <w:rPr>
          <w:rFonts w:hint="default" w:ascii="Times New Roman" w:hAnsi="Times New Roman" w:cs="Times New Roman"/>
          <w:color w:val="auto"/>
          <w:spacing w:val="-1"/>
          <w:highlight w:val="none"/>
        </w:rPr>
        <w:t>主体监理单位为</w:t>
      </w:r>
      <w:r>
        <w:rPr>
          <w:rFonts w:hint="default" w:ascii="Times New Roman" w:hAnsi="Times New Roman" w:eastAsia="仿宋" w:cs="Times New Roman"/>
          <w:color w:val="auto"/>
          <w:spacing w:val="-2"/>
          <w:sz w:val="24"/>
          <w:szCs w:val="24"/>
          <w:highlight w:val="none"/>
          <w:lang w:val="en-US" w:eastAsia="zh-CN"/>
        </w:rPr>
        <w:t>河北远大工程咨询</w:t>
      </w:r>
      <w:r>
        <w:rPr>
          <w:rFonts w:hint="default" w:ascii="Times New Roman" w:hAnsi="Times New Roman" w:cs="Times New Roman"/>
          <w:color w:val="auto"/>
          <w:spacing w:val="-1"/>
          <w:highlight w:val="none"/>
        </w:rPr>
        <w:t>有限公司</w:t>
      </w:r>
      <w:r>
        <w:rPr>
          <w:rFonts w:hint="default" w:ascii="Times New Roman" w:hAnsi="Times New Roman" w:cs="Times New Roman"/>
          <w:color w:val="auto"/>
          <w:spacing w:val="-8"/>
          <w:highlight w:val="none"/>
        </w:rPr>
        <w:t>。</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一、组织机构</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500"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5"/>
          <w:highlight w:val="none"/>
          <w:lang w:val="en-US" w:eastAsia="zh-CN"/>
        </w:rPr>
        <w:t>衡阳市城市建设投资</w:t>
      </w:r>
      <w:r>
        <w:rPr>
          <w:rFonts w:hint="default" w:ascii="Times New Roman" w:hAnsi="Times New Roman" w:cs="Times New Roman"/>
          <w:color w:val="auto"/>
          <w:spacing w:val="5"/>
          <w:highlight w:val="none"/>
        </w:rPr>
        <w:t>有限公司按照水土保持管理要求，成立了水土保持工作领导小</w:t>
      </w:r>
      <w:r>
        <w:rPr>
          <w:rFonts w:hint="default" w:ascii="Times New Roman" w:hAnsi="Times New Roman" w:cs="Times New Roman"/>
          <w:color w:val="auto"/>
          <w:spacing w:val="-7"/>
          <w:highlight w:val="none"/>
        </w:rPr>
        <w:t>组，组长由业主项目部总经理担任，副组长由副总经理担任，成员由主体监理单位监理</w:t>
      </w:r>
      <w:r>
        <w:rPr>
          <w:rFonts w:hint="default" w:ascii="Times New Roman" w:hAnsi="Times New Roman" w:cs="Times New Roman"/>
          <w:color w:val="auto"/>
          <w:highlight w:val="none"/>
        </w:rPr>
        <w:t>人员，以及各施工单位水保专责人员组成。</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3"/>
          <w:highlight w:val="none"/>
        </w:rPr>
        <w:t>水土保持工作领导小组负责本工程水土保持工作实施计划的编制及组织实施；水土</w:t>
      </w:r>
      <w:r>
        <w:rPr>
          <w:rFonts w:hint="default" w:ascii="Times New Roman" w:hAnsi="Times New Roman" w:cs="Times New Roman"/>
          <w:color w:val="auto"/>
          <w:spacing w:val="-5"/>
          <w:highlight w:val="none"/>
        </w:rPr>
        <w:t>保持管理制度的制定；提供相关水土保持设备，协助布设水保设施，开展日常水土保持</w:t>
      </w:r>
      <w:r>
        <w:rPr>
          <w:rFonts w:hint="default" w:ascii="Times New Roman" w:hAnsi="Times New Roman" w:cs="Times New Roman"/>
          <w:color w:val="auto"/>
          <w:spacing w:val="-9"/>
          <w:highlight w:val="none"/>
        </w:rPr>
        <w:t>工作，收集有关水土保持数据；统计、分析、审核、汇编水土保持工作成果；定期进行</w:t>
      </w:r>
      <w:r>
        <w:rPr>
          <w:rFonts w:hint="default" w:ascii="Times New Roman" w:hAnsi="Times New Roman" w:cs="Times New Roman"/>
          <w:color w:val="auto"/>
          <w:highlight w:val="none"/>
        </w:rPr>
        <w:t>总结报告编写；编写、审核、发送责任范围内的水土保持工作检查。</w:t>
      </w:r>
    </w:p>
    <w:p>
      <w:pPr>
        <w:pStyle w:val="8"/>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cs="Times New Roman"/>
          <w:color w:val="auto"/>
          <w:sz w:val="20"/>
          <w:highlight w:val="none"/>
        </w:rPr>
      </w:pPr>
    </w:p>
    <w:p>
      <w:pPr>
        <w:pStyle w:val="8"/>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cs="Times New Roman"/>
          <w:color w:val="auto"/>
          <w:sz w:val="20"/>
          <w:highlight w:val="none"/>
        </w:rPr>
      </w:pPr>
    </w:p>
    <w:p>
      <w:pPr>
        <w:pStyle w:val="8"/>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cs="Times New Roman"/>
          <w:color w:val="auto"/>
          <w:sz w:val="20"/>
          <w:highlight w:val="none"/>
        </w:rPr>
      </w:pPr>
    </w:p>
    <w:p>
      <w:pPr>
        <w:pStyle w:val="8"/>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cs="Times New Roman"/>
          <w:color w:val="auto"/>
          <w:sz w:val="20"/>
          <w:highlight w:val="none"/>
        </w:rPr>
      </w:pPr>
    </w:p>
    <w:p>
      <w:pPr>
        <w:pStyle w:val="8"/>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cs="Times New Roman"/>
          <w:color w:val="auto"/>
          <w:sz w:val="20"/>
          <w:highlight w:val="none"/>
        </w:rPr>
      </w:pPr>
    </w:p>
    <w:p>
      <w:pPr>
        <w:pStyle w:val="8"/>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cs="Times New Roman"/>
          <w:color w:val="auto"/>
          <w:sz w:val="20"/>
          <w:highlight w:val="none"/>
        </w:rPr>
      </w:pPr>
    </w:p>
    <w:p>
      <w:pPr>
        <w:pStyle w:val="8"/>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cs="Times New Roman"/>
          <w:color w:val="auto"/>
          <w:sz w:val="20"/>
          <w:highlight w:val="none"/>
        </w:rPr>
      </w:pPr>
    </w:p>
    <w:p>
      <w:pPr>
        <w:pStyle w:val="8"/>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cs="Times New Roman"/>
          <w:color w:val="auto"/>
          <w:sz w:val="20"/>
          <w:highlight w:val="none"/>
        </w:rPr>
      </w:pPr>
    </w:p>
    <w:p>
      <w:pPr>
        <w:pStyle w:val="8"/>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cs="Times New Roman"/>
          <w:color w:val="auto"/>
          <w:sz w:val="20"/>
          <w:highlight w:val="none"/>
        </w:rPr>
      </w:pPr>
    </w:p>
    <w:p>
      <w:pPr>
        <w:pStyle w:val="8"/>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cs="Times New Roman"/>
          <w:color w:val="auto"/>
          <w:sz w:val="20"/>
          <w:highlight w:val="none"/>
        </w:rPr>
      </w:pPr>
    </w:p>
    <w:p>
      <w:pPr>
        <w:pStyle w:val="8"/>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cs="Times New Roman"/>
          <w:color w:val="auto"/>
          <w:sz w:val="20"/>
          <w:highlight w:val="none"/>
        </w:rPr>
      </w:pPr>
    </w:p>
    <w:p>
      <w:pPr>
        <w:pStyle w:val="8"/>
        <w:keepNext w:val="0"/>
        <w:keepLines w:val="0"/>
        <w:pageBreakBefore w:val="0"/>
        <w:widowControl w:val="0"/>
        <w:kinsoku/>
        <w:wordWrap/>
        <w:overflowPunct/>
        <w:topLinePunct w:val="0"/>
        <w:autoSpaceDE/>
        <w:autoSpaceDN/>
        <w:bidi w:val="0"/>
        <w:adjustRightInd/>
        <w:snapToGrid/>
        <w:ind w:left="0" w:right="0"/>
        <w:textAlignment w:val="auto"/>
        <w:rPr>
          <w:rFonts w:hint="default" w:ascii="Times New Roman" w:hAnsi="Times New Roman" w:cs="Times New Roman"/>
          <w:color w:val="auto"/>
          <w:sz w:val="20"/>
          <w:highlight w:val="none"/>
        </w:rPr>
      </w:pPr>
    </w:p>
    <w:p>
      <w:pPr>
        <w:pStyle w:val="5"/>
        <w:keepNext w:val="0"/>
        <w:keepLines w:val="0"/>
        <w:pageBreakBefore w:val="0"/>
        <w:widowControl w:val="0"/>
        <w:kinsoku/>
        <w:wordWrap/>
        <w:overflowPunct/>
        <w:topLinePunct w:val="0"/>
        <w:autoSpaceDE/>
        <w:autoSpaceDN/>
        <w:bidi w:val="0"/>
        <w:adjustRightInd/>
        <w:snapToGrid/>
        <w:ind w:right="0" w:firstLine="1205" w:firstLineChars="500"/>
        <w:textAlignment w:val="auto"/>
        <w:outlineLvl w:val="9"/>
        <w:rPr>
          <w:rFonts w:hint="default" w:ascii="Times New Roman" w:hAnsi="Times New Roman" w:cs="Times New Roman"/>
          <w:color w:val="auto"/>
          <w:highlight w:val="none"/>
        </w:rPr>
      </w:pPr>
    </w:p>
    <w:p>
      <w:pPr>
        <w:pStyle w:val="5"/>
        <w:keepNext w:val="0"/>
        <w:keepLines w:val="0"/>
        <w:pageBreakBefore w:val="0"/>
        <w:widowControl w:val="0"/>
        <w:kinsoku/>
        <w:wordWrap/>
        <w:overflowPunct/>
        <w:topLinePunct w:val="0"/>
        <w:autoSpaceDE/>
        <w:autoSpaceDN/>
        <w:bidi w:val="0"/>
        <w:adjustRightInd/>
        <w:snapToGrid/>
        <w:ind w:right="0" w:firstLine="1205" w:firstLineChars="500"/>
        <w:textAlignment w:val="auto"/>
        <w:outlineLvl w:val="9"/>
        <w:rPr>
          <w:rFonts w:hint="default" w:ascii="Times New Roman" w:hAnsi="Times New Roman" w:cs="Times New Roman"/>
          <w:color w:val="auto"/>
          <w:highlight w:val="none"/>
        </w:rPr>
      </w:pPr>
    </w:p>
    <w:p>
      <w:pPr>
        <w:pStyle w:val="5"/>
        <w:keepNext w:val="0"/>
        <w:keepLines w:val="0"/>
        <w:pageBreakBefore w:val="0"/>
        <w:widowControl w:val="0"/>
        <w:kinsoku/>
        <w:wordWrap/>
        <w:overflowPunct/>
        <w:topLinePunct w:val="0"/>
        <w:autoSpaceDE/>
        <w:autoSpaceDN/>
        <w:bidi w:val="0"/>
        <w:adjustRightInd/>
        <w:snapToGrid/>
        <w:ind w:right="0" w:firstLine="1205" w:firstLineChars="500"/>
        <w:textAlignment w:val="auto"/>
        <w:outlineLvl w:val="9"/>
        <w:rPr>
          <w:rFonts w:hint="default" w:ascii="Times New Roman" w:hAnsi="Times New Roman" w:cs="Times New Roman"/>
          <w:color w:val="auto"/>
          <w:highlight w:val="none"/>
        </w:rPr>
      </w:pPr>
    </w:p>
    <w:p>
      <w:pPr>
        <w:pStyle w:val="5"/>
        <w:keepNext w:val="0"/>
        <w:keepLines w:val="0"/>
        <w:pageBreakBefore w:val="0"/>
        <w:widowControl w:val="0"/>
        <w:kinsoku/>
        <w:wordWrap/>
        <w:overflowPunct/>
        <w:topLinePunct w:val="0"/>
        <w:autoSpaceDE/>
        <w:autoSpaceDN/>
        <w:bidi w:val="0"/>
        <w:adjustRightInd/>
        <w:snapToGrid/>
        <w:ind w:right="0" w:firstLine="1205" w:firstLineChars="5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mc:AlternateContent>
          <mc:Choice Requires="wps">
            <w:drawing>
              <wp:anchor distT="0" distB="0" distL="114300" distR="114300" simplePos="0" relativeHeight="251662336" behindDoc="1" locked="0" layoutInCell="1" allowOverlap="1">
                <wp:simplePos x="0" y="0"/>
                <wp:positionH relativeFrom="page">
                  <wp:posOffset>2576195</wp:posOffset>
                </wp:positionH>
                <wp:positionV relativeFrom="paragraph">
                  <wp:posOffset>-932815</wp:posOffset>
                </wp:positionV>
                <wp:extent cx="133350" cy="772160"/>
                <wp:effectExtent l="0" t="0" r="0" b="0"/>
                <wp:wrapNone/>
                <wp:docPr id="18" name="文本框 18"/>
                <wp:cNvGraphicFramePr/>
                <a:graphic xmlns:a="http://schemas.openxmlformats.org/drawingml/2006/main">
                  <a:graphicData uri="http://schemas.microsoft.com/office/word/2010/wordprocessingShape">
                    <wps:wsp>
                      <wps:cNvSpPr txBox="1"/>
                      <wps:spPr>
                        <a:xfrm>
                          <a:off x="0" y="0"/>
                          <a:ext cx="133350" cy="772160"/>
                        </a:xfrm>
                        <a:prstGeom prst="rect">
                          <a:avLst/>
                        </a:prstGeom>
                        <a:noFill/>
                        <a:ln>
                          <a:noFill/>
                        </a:ln>
                      </wps:spPr>
                      <wps:txbx>
                        <w:txbxContent>
                          <w:p>
                            <w:pPr>
                              <w:spacing w:before="0" w:line="50" w:lineRule="exact"/>
                              <w:ind w:left="0" w:right="0" w:firstLine="0"/>
                              <w:jc w:val="left"/>
                              <w:rPr>
                                <w:rFonts w:hint="eastAsia" w:ascii="宋体" w:eastAsia="宋体"/>
                                <w:sz w:val="21"/>
                              </w:rPr>
                            </w:pPr>
                            <w:r>
                              <w:rPr>
                                <w:rFonts w:hint="eastAsia" w:ascii="宋体" w:eastAsia="宋体"/>
                                <w:sz w:val="21"/>
                              </w:rPr>
                              <w:t>监</w:t>
                            </w:r>
                          </w:p>
                          <w:p>
                            <w:pPr>
                              <w:spacing w:before="6" w:line="223" w:lineRule="auto"/>
                              <w:ind w:left="0" w:right="0" w:firstLine="0"/>
                              <w:jc w:val="both"/>
                              <w:rPr>
                                <w:rFonts w:hint="eastAsia" w:ascii="宋体" w:eastAsia="宋体"/>
                                <w:sz w:val="21"/>
                              </w:rPr>
                            </w:pPr>
                            <w:r>
                              <w:rPr>
                                <w:rFonts w:hint="eastAsia" w:ascii="宋体" w:eastAsia="宋体"/>
                                <w:sz w:val="21"/>
                              </w:rPr>
                              <w:t>理工程师</w:t>
                            </w:r>
                          </w:p>
                        </w:txbxContent>
                      </wps:txbx>
                      <wps:bodyPr lIns="0" tIns="0" rIns="0" bIns="0" upright="1"/>
                    </wps:wsp>
                  </a:graphicData>
                </a:graphic>
              </wp:anchor>
            </w:drawing>
          </mc:Choice>
          <mc:Fallback>
            <w:pict>
              <v:shape id="_x0000_s1026" o:spid="_x0000_s1026" o:spt="202" type="#_x0000_t202" style="position:absolute;left:0pt;margin-left:202.85pt;margin-top:-73.45pt;height:60.8pt;width:10.5pt;mso-position-horizontal-relative:page;z-index:-251654144;mso-width-relative:page;mso-height-relative:page;" filled="f" stroked="f" coordsize="21600,21600" o:gfxdata="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">
                <v:fill on="f" focussize="0,0"/>
                <v:stroke on="f"/>
                <v:imagedata o:title=""/>
                <o:lock v:ext="edit" aspectratio="f"/>
                <v:textbox inset="0mm,0mm,0mm,0mm">
                  <w:txbxContent>
                    <w:p>
                      <w:pPr>
                        <w:spacing w:before="0" w:line="50" w:lineRule="exact"/>
                        <w:ind w:left="0" w:right="0" w:firstLine="0"/>
                        <w:jc w:val="left"/>
                        <w:rPr>
                          <w:rFonts w:hint="eastAsia" w:ascii="宋体" w:eastAsia="宋体"/>
                          <w:sz w:val="21"/>
                        </w:rPr>
                      </w:pPr>
                      <w:r>
                        <w:rPr>
                          <w:rFonts w:hint="eastAsia" w:ascii="宋体" w:eastAsia="宋体"/>
                          <w:sz w:val="21"/>
                        </w:rPr>
                        <w:t>监</w:t>
                      </w:r>
                    </w:p>
                    <w:p>
                      <w:pPr>
                        <w:spacing w:before="6" w:line="223" w:lineRule="auto"/>
                        <w:ind w:left="0" w:right="0" w:firstLine="0"/>
                        <w:jc w:val="both"/>
                        <w:rPr>
                          <w:rFonts w:hint="eastAsia" w:ascii="宋体" w:eastAsia="宋体"/>
                          <w:sz w:val="21"/>
                        </w:rPr>
                      </w:pPr>
                      <w:r>
                        <w:rPr>
                          <w:rFonts w:hint="eastAsia" w:ascii="宋体" w:eastAsia="宋体"/>
                          <w:sz w:val="21"/>
                        </w:rPr>
                        <w:t>理工程师</w:t>
                      </w:r>
                    </w:p>
                  </w:txbxContent>
                </v:textbox>
              </v:shape>
            </w:pict>
          </mc:Fallback>
        </mc:AlternateContent>
      </w:r>
      <w:r>
        <w:rPr>
          <w:rFonts w:hint="default" w:ascii="Times New Roman" w:hAnsi="Times New Roman" w:cs="Times New Roman"/>
          <w:color w:val="auto"/>
          <w:highlight w:val="none"/>
        </w:rPr>
        <mc:AlternateContent>
          <mc:Choice Requires="wpg">
            <w:drawing>
              <wp:anchor distT="0" distB="0" distL="114300" distR="114300" simplePos="0" relativeHeight="251663360" behindDoc="0" locked="0" layoutInCell="1" allowOverlap="1">
                <wp:simplePos x="0" y="0"/>
                <wp:positionH relativeFrom="page">
                  <wp:posOffset>1419225</wp:posOffset>
                </wp:positionH>
                <wp:positionV relativeFrom="paragraph">
                  <wp:posOffset>-2275840</wp:posOffset>
                </wp:positionV>
                <wp:extent cx="3666490" cy="2167890"/>
                <wp:effectExtent l="635" t="0" r="9525" b="3810"/>
                <wp:wrapNone/>
                <wp:docPr id="19" name="组合 19"/>
                <wp:cNvGraphicFramePr/>
                <a:graphic xmlns:a="http://schemas.openxmlformats.org/drawingml/2006/main">
                  <a:graphicData uri="http://schemas.microsoft.com/office/word/2010/wordprocessingGroup">
                    <wpg:wgp>
                      <wpg:cNvGrpSpPr/>
                      <wpg:grpSpPr>
                        <a:xfrm>
                          <a:off x="0" y="0"/>
                          <a:ext cx="3666490" cy="2167890"/>
                          <a:chOff x="2236" y="-3584"/>
                          <a:chExt cx="5774" cy="3414"/>
                        </a:xfrm>
                      </wpg:grpSpPr>
                      <wps:wsp>
                        <wps:cNvPr id="22" name="任意多边形 6"/>
                        <wps:cNvSpPr/>
                        <wps:spPr>
                          <a:xfrm>
                            <a:off x="3757" y="-3577"/>
                            <a:ext cx="2936" cy="1256"/>
                          </a:xfrm>
                          <a:custGeom>
                            <a:avLst/>
                            <a:gdLst/>
                            <a:ahLst/>
                            <a:cxnLst/>
                            <a:pathLst>
                              <a:path w="2936" h="1256">
                                <a:moveTo>
                                  <a:pt x="2935" y="0"/>
                                </a:moveTo>
                                <a:lnTo>
                                  <a:pt x="6" y="0"/>
                                </a:lnTo>
                                <a:lnTo>
                                  <a:pt x="6" y="476"/>
                                </a:lnTo>
                                <a:lnTo>
                                  <a:pt x="2935" y="476"/>
                                </a:lnTo>
                                <a:lnTo>
                                  <a:pt x="2935" y="0"/>
                                </a:lnTo>
                                <a:close/>
                                <a:moveTo>
                                  <a:pt x="2929" y="825"/>
                                </a:moveTo>
                                <a:lnTo>
                                  <a:pt x="0" y="825"/>
                                </a:lnTo>
                                <a:lnTo>
                                  <a:pt x="0" y="1256"/>
                                </a:lnTo>
                                <a:lnTo>
                                  <a:pt x="2929" y="1256"/>
                                </a:lnTo>
                                <a:lnTo>
                                  <a:pt x="2929" y="825"/>
                                </a:lnTo>
                                <a:close/>
                              </a:path>
                            </a:pathLst>
                          </a:custGeom>
                          <a:noFill/>
                          <a:ln w="9525" cap="flat" cmpd="sng">
                            <a:solidFill>
                              <a:srgbClr val="000000"/>
                            </a:solidFill>
                            <a:prstDash val="solid"/>
                            <a:headEnd type="none" w="med" len="med"/>
                            <a:tailEnd type="none" w="med" len="med"/>
                          </a:ln>
                        </wps:spPr>
                        <wps:bodyPr upright="1"/>
                      </wps:wsp>
                      <wps:wsp>
                        <wps:cNvPr id="23" name="任意多边形 7"/>
                        <wps:cNvSpPr/>
                        <wps:spPr>
                          <a:xfrm>
                            <a:off x="5174" y="-3169"/>
                            <a:ext cx="120" cy="476"/>
                          </a:xfrm>
                          <a:custGeom>
                            <a:avLst/>
                            <a:gdLst/>
                            <a:ahLst/>
                            <a:cxnLst/>
                            <a:pathLst>
                              <a:path w="120" h="476">
                                <a:moveTo>
                                  <a:pt x="53" y="356"/>
                                </a:moveTo>
                                <a:lnTo>
                                  <a:pt x="0" y="357"/>
                                </a:lnTo>
                                <a:lnTo>
                                  <a:pt x="60" y="476"/>
                                </a:lnTo>
                                <a:lnTo>
                                  <a:pt x="110" y="376"/>
                                </a:lnTo>
                                <a:lnTo>
                                  <a:pt x="53" y="376"/>
                                </a:lnTo>
                                <a:lnTo>
                                  <a:pt x="53" y="356"/>
                                </a:lnTo>
                                <a:close/>
                                <a:moveTo>
                                  <a:pt x="69" y="356"/>
                                </a:moveTo>
                                <a:lnTo>
                                  <a:pt x="53" y="356"/>
                                </a:lnTo>
                                <a:lnTo>
                                  <a:pt x="53" y="376"/>
                                </a:lnTo>
                                <a:lnTo>
                                  <a:pt x="69" y="376"/>
                                </a:lnTo>
                                <a:lnTo>
                                  <a:pt x="69" y="356"/>
                                </a:lnTo>
                                <a:close/>
                                <a:moveTo>
                                  <a:pt x="120" y="356"/>
                                </a:moveTo>
                                <a:lnTo>
                                  <a:pt x="69" y="356"/>
                                </a:lnTo>
                                <a:lnTo>
                                  <a:pt x="69" y="376"/>
                                </a:lnTo>
                                <a:lnTo>
                                  <a:pt x="110" y="376"/>
                                </a:lnTo>
                                <a:lnTo>
                                  <a:pt x="120" y="356"/>
                                </a:lnTo>
                                <a:close/>
                                <a:moveTo>
                                  <a:pt x="68" y="0"/>
                                </a:moveTo>
                                <a:lnTo>
                                  <a:pt x="52" y="0"/>
                                </a:lnTo>
                                <a:lnTo>
                                  <a:pt x="53" y="356"/>
                                </a:lnTo>
                                <a:lnTo>
                                  <a:pt x="69" y="356"/>
                                </a:lnTo>
                                <a:lnTo>
                                  <a:pt x="68" y="0"/>
                                </a:lnTo>
                                <a:close/>
                              </a:path>
                            </a:pathLst>
                          </a:custGeom>
                          <a:solidFill>
                            <a:srgbClr val="000000"/>
                          </a:solidFill>
                          <a:ln>
                            <a:noFill/>
                          </a:ln>
                        </wps:spPr>
                        <wps:bodyPr upright="1"/>
                      </wps:wsp>
                      <wps:wsp>
                        <wps:cNvPr id="24" name="直接连接符 8"/>
                        <wps:cNvCnPr/>
                        <wps:spPr>
                          <a:xfrm>
                            <a:off x="2498" y="-1971"/>
                            <a:ext cx="5222" cy="10"/>
                          </a:xfrm>
                          <a:prstGeom prst="line">
                            <a:avLst/>
                          </a:prstGeom>
                          <a:ln w="9525" cap="flat" cmpd="sng">
                            <a:solidFill>
                              <a:srgbClr val="000000"/>
                            </a:solidFill>
                            <a:prstDash val="solid"/>
                            <a:headEnd type="none" w="med" len="med"/>
                            <a:tailEnd type="none" w="med" len="med"/>
                          </a:ln>
                        </wps:spPr>
                        <wps:bodyPr upright="1"/>
                      </wps:wsp>
                      <wps:wsp>
                        <wps:cNvPr id="25" name="任意多边形 9"/>
                        <wps:cNvSpPr/>
                        <wps:spPr>
                          <a:xfrm>
                            <a:off x="2438" y="-2372"/>
                            <a:ext cx="5342" cy="887"/>
                          </a:xfrm>
                          <a:custGeom>
                            <a:avLst/>
                            <a:gdLst/>
                            <a:ahLst/>
                            <a:cxnLst/>
                            <a:pathLst>
                              <a:path w="5342" h="887">
                                <a:moveTo>
                                  <a:pt x="120" y="767"/>
                                </a:moveTo>
                                <a:lnTo>
                                  <a:pt x="68" y="767"/>
                                </a:lnTo>
                                <a:lnTo>
                                  <a:pt x="68" y="411"/>
                                </a:lnTo>
                                <a:lnTo>
                                  <a:pt x="52" y="411"/>
                                </a:lnTo>
                                <a:lnTo>
                                  <a:pt x="52" y="767"/>
                                </a:lnTo>
                                <a:lnTo>
                                  <a:pt x="0" y="767"/>
                                </a:lnTo>
                                <a:lnTo>
                                  <a:pt x="60" y="887"/>
                                </a:lnTo>
                                <a:lnTo>
                                  <a:pt x="110" y="787"/>
                                </a:lnTo>
                                <a:lnTo>
                                  <a:pt x="120" y="767"/>
                                </a:lnTo>
                                <a:moveTo>
                                  <a:pt x="1822" y="767"/>
                                </a:moveTo>
                                <a:lnTo>
                                  <a:pt x="1769" y="767"/>
                                </a:lnTo>
                                <a:lnTo>
                                  <a:pt x="1769" y="411"/>
                                </a:lnTo>
                                <a:lnTo>
                                  <a:pt x="1755" y="411"/>
                                </a:lnTo>
                                <a:lnTo>
                                  <a:pt x="1755" y="767"/>
                                </a:lnTo>
                                <a:lnTo>
                                  <a:pt x="1702" y="767"/>
                                </a:lnTo>
                                <a:lnTo>
                                  <a:pt x="1762" y="887"/>
                                </a:lnTo>
                                <a:lnTo>
                                  <a:pt x="1812" y="787"/>
                                </a:lnTo>
                                <a:lnTo>
                                  <a:pt x="1822" y="767"/>
                                </a:lnTo>
                                <a:moveTo>
                                  <a:pt x="2817" y="357"/>
                                </a:moveTo>
                                <a:lnTo>
                                  <a:pt x="2764" y="357"/>
                                </a:lnTo>
                                <a:lnTo>
                                  <a:pt x="2764" y="0"/>
                                </a:lnTo>
                                <a:lnTo>
                                  <a:pt x="2750" y="0"/>
                                </a:lnTo>
                                <a:lnTo>
                                  <a:pt x="2750" y="357"/>
                                </a:lnTo>
                                <a:lnTo>
                                  <a:pt x="2697" y="357"/>
                                </a:lnTo>
                                <a:lnTo>
                                  <a:pt x="2757" y="477"/>
                                </a:lnTo>
                                <a:lnTo>
                                  <a:pt x="2807" y="376"/>
                                </a:lnTo>
                                <a:lnTo>
                                  <a:pt x="2817" y="357"/>
                                </a:lnTo>
                                <a:moveTo>
                                  <a:pt x="3738" y="757"/>
                                </a:moveTo>
                                <a:lnTo>
                                  <a:pt x="3687" y="757"/>
                                </a:lnTo>
                                <a:lnTo>
                                  <a:pt x="3687" y="401"/>
                                </a:lnTo>
                                <a:lnTo>
                                  <a:pt x="3671" y="401"/>
                                </a:lnTo>
                                <a:lnTo>
                                  <a:pt x="3671" y="757"/>
                                </a:lnTo>
                                <a:lnTo>
                                  <a:pt x="3618" y="757"/>
                                </a:lnTo>
                                <a:lnTo>
                                  <a:pt x="3678" y="877"/>
                                </a:lnTo>
                                <a:lnTo>
                                  <a:pt x="3729" y="777"/>
                                </a:lnTo>
                                <a:lnTo>
                                  <a:pt x="3738" y="757"/>
                                </a:lnTo>
                                <a:moveTo>
                                  <a:pt x="5342" y="762"/>
                                </a:moveTo>
                                <a:lnTo>
                                  <a:pt x="5290" y="762"/>
                                </a:lnTo>
                                <a:lnTo>
                                  <a:pt x="5290" y="406"/>
                                </a:lnTo>
                                <a:lnTo>
                                  <a:pt x="5274" y="406"/>
                                </a:lnTo>
                                <a:lnTo>
                                  <a:pt x="5274" y="762"/>
                                </a:lnTo>
                                <a:lnTo>
                                  <a:pt x="5222" y="762"/>
                                </a:lnTo>
                                <a:lnTo>
                                  <a:pt x="5282" y="882"/>
                                </a:lnTo>
                                <a:lnTo>
                                  <a:pt x="5331" y="783"/>
                                </a:lnTo>
                                <a:lnTo>
                                  <a:pt x="5342" y="762"/>
                                </a:lnTo>
                              </a:path>
                            </a:pathLst>
                          </a:custGeom>
                          <a:solidFill>
                            <a:srgbClr val="000000"/>
                          </a:solidFill>
                          <a:ln>
                            <a:noFill/>
                          </a:ln>
                        </wps:spPr>
                        <wps:bodyPr upright="1"/>
                      </wps:wsp>
                      <wps:wsp>
                        <wps:cNvPr id="26" name="任意多边形 10"/>
                        <wps:cNvSpPr/>
                        <wps:spPr>
                          <a:xfrm>
                            <a:off x="2235" y="-1547"/>
                            <a:ext cx="5774" cy="1376"/>
                          </a:xfrm>
                          <a:custGeom>
                            <a:avLst/>
                            <a:gdLst/>
                            <a:ahLst/>
                            <a:cxnLst/>
                            <a:pathLst>
                              <a:path w="5774" h="1376">
                                <a:moveTo>
                                  <a:pt x="538" y="0"/>
                                </a:moveTo>
                                <a:lnTo>
                                  <a:pt x="0" y="0"/>
                                </a:lnTo>
                                <a:lnTo>
                                  <a:pt x="0" y="1375"/>
                                </a:lnTo>
                                <a:lnTo>
                                  <a:pt x="538" y="1375"/>
                                </a:lnTo>
                                <a:lnTo>
                                  <a:pt x="538" y="0"/>
                                </a:lnTo>
                                <a:moveTo>
                                  <a:pt x="2218" y="0"/>
                                </a:moveTo>
                                <a:lnTo>
                                  <a:pt x="1680" y="0"/>
                                </a:lnTo>
                                <a:lnTo>
                                  <a:pt x="1680" y="1375"/>
                                </a:lnTo>
                                <a:lnTo>
                                  <a:pt x="2218" y="1375"/>
                                </a:lnTo>
                                <a:lnTo>
                                  <a:pt x="2218" y="0"/>
                                </a:lnTo>
                                <a:moveTo>
                                  <a:pt x="4146" y="0"/>
                                </a:moveTo>
                                <a:lnTo>
                                  <a:pt x="3607" y="0"/>
                                </a:lnTo>
                                <a:lnTo>
                                  <a:pt x="3607" y="1375"/>
                                </a:lnTo>
                                <a:lnTo>
                                  <a:pt x="4146" y="1375"/>
                                </a:lnTo>
                                <a:lnTo>
                                  <a:pt x="4146" y="0"/>
                                </a:lnTo>
                                <a:moveTo>
                                  <a:pt x="5773" y="0"/>
                                </a:moveTo>
                                <a:lnTo>
                                  <a:pt x="5234" y="0"/>
                                </a:lnTo>
                                <a:lnTo>
                                  <a:pt x="5234" y="1375"/>
                                </a:lnTo>
                                <a:lnTo>
                                  <a:pt x="5773" y="1375"/>
                                </a:lnTo>
                                <a:lnTo>
                                  <a:pt x="5773" y="0"/>
                                </a:lnTo>
                              </a:path>
                            </a:pathLst>
                          </a:custGeom>
                          <a:solidFill>
                            <a:srgbClr val="FFFFFF"/>
                          </a:solidFill>
                          <a:ln>
                            <a:noFill/>
                          </a:ln>
                        </wps:spPr>
                        <wps:bodyPr upright="1"/>
                      </wps:wsp>
                      <wps:wsp>
                        <wps:cNvPr id="27" name="文本框 11"/>
                        <wps:cNvSpPr txBox="1"/>
                        <wps:spPr>
                          <a:xfrm>
                            <a:off x="4284" y="-3466"/>
                            <a:ext cx="1910" cy="210"/>
                          </a:xfrm>
                          <a:prstGeom prst="rect">
                            <a:avLst/>
                          </a:prstGeom>
                          <a:noFill/>
                          <a:ln>
                            <a:noFill/>
                          </a:ln>
                        </wps:spPr>
                        <wps:txbx>
                          <w:txbxContent>
                            <w:p>
                              <w:pPr>
                                <w:spacing w:before="0" w:line="210" w:lineRule="exact"/>
                                <w:ind w:left="0" w:right="0" w:firstLine="0"/>
                                <w:jc w:val="left"/>
                                <w:rPr>
                                  <w:rFonts w:hint="eastAsia" w:ascii="宋体" w:eastAsia="宋体"/>
                                  <w:sz w:val="21"/>
                                </w:rPr>
                              </w:pPr>
                              <w:r>
                                <w:rPr>
                                  <w:rFonts w:hint="eastAsia" w:ascii="宋体" w:eastAsia="宋体"/>
                                  <w:sz w:val="21"/>
                                </w:rPr>
                                <w:t>组长（项目部经理）</w:t>
                              </w:r>
                            </w:p>
                          </w:txbxContent>
                        </wps:txbx>
                        <wps:bodyPr lIns="0" tIns="0" rIns="0" bIns="0" upright="1"/>
                      </wps:wsp>
                      <wps:wsp>
                        <wps:cNvPr id="12" name="文本框 12"/>
                        <wps:cNvSpPr txBox="1"/>
                        <wps:spPr>
                          <a:xfrm>
                            <a:off x="4066" y="-2642"/>
                            <a:ext cx="2330" cy="210"/>
                          </a:xfrm>
                          <a:prstGeom prst="rect">
                            <a:avLst/>
                          </a:prstGeom>
                          <a:noFill/>
                          <a:ln>
                            <a:noFill/>
                          </a:ln>
                        </wps:spPr>
                        <wps:txbx>
                          <w:txbxContent>
                            <w:p>
                              <w:pPr>
                                <w:spacing w:before="0" w:line="210" w:lineRule="exact"/>
                                <w:ind w:left="0" w:right="0" w:firstLine="0"/>
                                <w:jc w:val="left"/>
                                <w:rPr>
                                  <w:rFonts w:hint="eastAsia" w:ascii="宋体" w:eastAsia="宋体"/>
                                  <w:sz w:val="21"/>
                                </w:rPr>
                              </w:pPr>
                              <w:r>
                                <w:rPr>
                                  <w:rFonts w:hint="eastAsia" w:ascii="宋体" w:eastAsia="宋体"/>
                                  <w:sz w:val="21"/>
                                </w:rPr>
                                <w:t>副组长（项目部副经理）</w:t>
                              </w:r>
                            </w:p>
                          </w:txbxContent>
                        </wps:txbx>
                        <wps:bodyPr lIns="0" tIns="0" rIns="0" bIns="0" upright="1"/>
                      </wps:wsp>
                    </wpg:wgp>
                  </a:graphicData>
                </a:graphic>
              </wp:anchor>
            </w:drawing>
          </mc:Choice>
          <mc:Fallback>
            <w:pict>
              <v:group id="_x0000_s1026" o:spid="_x0000_s1026" o:spt="203" style="position:absolute;left:0pt;margin-left:111.75pt;margin-top:-179.2pt;height:170.7pt;width:288.7pt;mso-position-horizontal-relative:page;z-index:251663360;mso-width-relative:page;mso-height-relative:page;" coordorigin="2236,-3584" coordsize="5774,3414" o:gfxdata="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">
                <o:lock v:ext="edit" aspectratio="f"/>
                <v:shape id="任意多边形 6" o:spid="_x0000_s1026" o:spt="100" style="position:absolute;left:3757;top:-3577;height:1256;width:2936;" filled="f" stroked="t" coordsize="2936,1256" o:gfxdata="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" path="m2935,0l6,0,6,476,2935,476,2935,0xm2929,825l0,825,0,1256,2929,1256,2929,825xe">
                  <v:fill on="f" focussize="0,0"/>
                  <v:stroke color="#000000" joinstyle="round"/>
                  <v:imagedata o:title=""/>
                  <o:lock v:ext="edit" aspectratio="f"/>
                </v:shape>
                <v:shape id="任意多边形 7" o:spid="_x0000_s1026" o:spt="100" style="position:absolute;left:5174;top:-3169;height:476;width:120;" fillcolor="#000000" filled="t" stroked="f" coordsize="120,476" o:gfxdata="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D0kINrvQAA&#10;ANsAAAAPAAAAAAAAAAEAIAAAACIAAABkcnMvZG93bnJldi54bWxQSwECFAAUAAAACACHTuJAMy8F&#10;njsAAAA5AAAAEAAAAAAAAAABACAAAAAMAQAAZHJzL3NoYXBleG1sLnhtbFBLBQYAAAAABgAGAFsB&#10;AAC2AwAAAAA=&#10;" path="m53,356l0,357,60,476,110,376,53,376,53,356xm69,356l53,356,53,376,69,376,69,356xm120,356l69,356,69,376,110,376,120,356xm68,0l52,0,53,356,69,356,68,0xe">
                  <v:fill on="t" focussize="0,0"/>
                  <v:stroke on="f"/>
                  <v:imagedata o:title=""/>
                  <o:lock v:ext="edit" aspectratio="f"/>
                </v:shape>
                <v:line id="直接连接符 8" o:spid="_x0000_s1026" o:spt="20" style="position:absolute;left:2498;top:-1971;height:10;width:5222;" filled="f" stroked="t" coordsize="21600,21600" o:gfxdata="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WaxwWvQAA&#10;ANsAAAAPAAAAAAAAAAEAIAAAACIAAABkcnMvZG93bnJldi54bWxQSwECFAAUAAAACACHTuJAMy8F&#10;njsAAAA5AAAAEAAAAAAAAAABACAAAAAMAQAAZHJzL3NoYXBleG1sLnhtbFBLBQYAAAAABgAGAFsB&#10;AAC2AwAAAAA=&#10;">
                  <v:fill on="f" focussize="0,0"/>
                  <v:stroke color="#000000" joinstyle="round"/>
                  <v:imagedata o:title=""/>
                  <o:lock v:ext="edit" aspectratio="f"/>
                </v:line>
                <v:shape id="任意多边形 9" o:spid="_x0000_s1026" o:spt="100" style="position:absolute;left:2438;top:-2372;height:887;width:5342;" fillcolor="#000000" filled="t" stroked="f" coordsize="5342,887" o:gfxdata="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gL5dlvQAA&#10;ANsAAAAPAAAAAAAAAAEAIAAAACIAAABkcnMvZG93bnJldi54bWxQSwECFAAUAAAACACHTuJAMy8F&#10;njsAAAA5AAAAEAAAAAAAAAABACAAAAAMAQAAZHJzL3NoYXBleG1sLnhtbFBLBQYAAAAABgAGAFsB&#10;AAC2AwAAAAA=&#10;" path="m120,767l68,767,68,411,52,411,52,767,0,767,60,887,110,787,120,767m1822,767l1769,767,1769,411,1755,411,1755,767,1702,767,1762,887,1812,787,1822,767m2817,357l2764,357,2764,0,2750,0,2750,357,2697,357,2757,477,2807,376,2817,357m3738,757l3687,757,3687,401,3671,401,3671,757,3618,757,3678,877,3729,777,3738,757m5342,762l5290,762,5290,406,5274,406,5274,762,5222,762,5282,882,5331,783,5342,762e">
                  <v:fill on="t" focussize="0,0"/>
                  <v:stroke on="f"/>
                  <v:imagedata o:title=""/>
                  <o:lock v:ext="edit" aspectratio="f"/>
                </v:shape>
                <v:shape id="任意多边形 10" o:spid="_x0000_s1026" o:spt="100" style="position:absolute;left:2235;top:-1547;height:1376;width:5774;" fillcolor="#FFFFFF" filled="t" stroked="f" coordsize="5774,1376" o:gfxdata="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U9rkcvQAA&#10;ANsAAAAPAAAAAAAAAAEAIAAAACIAAABkcnMvZG93bnJldi54bWxQSwECFAAUAAAACACHTuJAMy8F&#10;njsAAAA5AAAAEAAAAAAAAAABACAAAAAMAQAAZHJzL3NoYXBleG1sLnhtbFBLBQYAAAAABgAGAFsB&#10;AAC2AwAAAAA=&#10;" path="m538,0l0,0,0,1375,538,1375,538,0m2218,0l1680,0,1680,1375,2218,1375,2218,0m4146,0l3607,0,3607,1375,4146,1375,4146,0m5773,0l5234,0,5234,1375,5773,1375,5773,0e">
                  <v:fill on="t" focussize="0,0"/>
                  <v:stroke on="f"/>
                  <v:imagedata o:title=""/>
                  <o:lock v:ext="edit" aspectratio="f"/>
                </v:shape>
                <v:shape id="文本框 11" o:spid="_x0000_s1026" o:spt="202" type="#_x0000_t202" style="position:absolute;left:4284;top:-3466;height:210;width:1910;" filled="f" stroked="f" coordsize="21600,21600" o:gfxdata="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Lj6NxvQAA&#10;ANsAAAAPAAAAAAAAAAEAIAAAACIAAABkcnMvZG93bnJldi54bWxQSwECFAAUAAAACACHTuJAMy8F&#10;njsAAAA5AAAAEAAAAAAAAAABACAAAAAMAQAAZHJzL3NoYXBleG1sLnhtbFBLBQYAAAAABgAGAFsB&#10;AAC2AwAAAAA=&#10;">
                  <v:fill on="f" focussize="0,0"/>
                  <v:stroke on="f"/>
                  <v:imagedata o:title=""/>
                  <o:lock v:ext="edit" aspectratio="f"/>
                  <v:textbox inset="0mm,0mm,0mm,0mm">
                    <w:txbxContent>
                      <w:p>
                        <w:pPr>
                          <w:spacing w:before="0" w:line="210" w:lineRule="exact"/>
                          <w:ind w:left="0" w:right="0" w:firstLine="0"/>
                          <w:jc w:val="left"/>
                          <w:rPr>
                            <w:rFonts w:hint="eastAsia" w:ascii="宋体" w:eastAsia="宋体"/>
                            <w:sz w:val="21"/>
                          </w:rPr>
                        </w:pPr>
                        <w:r>
                          <w:rPr>
                            <w:rFonts w:hint="eastAsia" w:ascii="宋体" w:eastAsia="宋体"/>
                            <w:sz w:val="21"/>
                          </w:rPr>
                          <w:t>组长（项目部经理）</w:t>
                        </w:r>
                      </w:p>
                    </w:txbxContent>
                  </v:textbox>
                </v:shape>
                <v:shape id="_x0000_s1026" o:spid="_x0000_s1026" o:spt="202" type="#_x0000_t202" style="position:absolute;left:4066;top:-2642;height:210;width:2330;" filled="f" stroked="f" coordsize="21600,21600" o:gfxdata="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WUylS8AAAA&#10;2wAAAA8AAAAAAAAAAQAgAAAAIgAAAGRycy9kb3ducmV2LnhtbFBLAQIUABQAAAAIAIdO4kAzLwWe&#10;OwAAADkAAAAQAAAAAAAAAAEAIAAAAAsBAABkcnMvc2hhcGV4bWwueG1sUEsFBgAAAAAGAAYAWwEA&#10;ALUDAAAAAA==&#10;">
                  <v:fill on="f" focussize="0,0"/>
                  <v:stroke on="f"/>
                  <v:imagedata o:title=""/>
                  <o:lock v:ext="edit" aspectratio="f"/>
                  <v:textbox inset="0mm,0mm,0mm,0mm">
                    <w:txbxContent>
                      <w:p>
                        <w:pPr>
                          <w:spacing w:before="0" w:line="210" w:lineRule="exact"/>
                          <w:ind w:left="0" w:right="0" w:firstLine="0"/>
                          <w:jc w:val="left"/>
                          <w:rPr>
                            <w:rFonts w:hint="eastAsia" w:ascii="宋体" w:eastAsia="宋体"/>
                            <w:sz w:val="21"/>
                          </w:rPr>
                        </w:pPr>
                        <w:r>
                          <w:rPr>
                            <w:rFonts w:hint="eastAsia" w:ascii="宋体" w:eastAsia="宋体"/>
                            <w:sz w:val="21"/>
                          </w:rPr>
                          <w:t>副组长（项目部副经理）</w:t>
                        </w:r>
                      </w:p>
                    </w:txbxContent>
                  </v:textbox>
                </v:shape>
              </v:group>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64384" behindDoc="0" locked="0" layoutInCell="1" allowOverlap="1">
                <wp:simplePos x="0" y="0"/>
                <wp:positionH relativeFrom="page">
                  <wp:posOffset>4743450</wp:posOffset>
                </wp:positionH>
                <wp:positionV relativeFrom="paragraph">
                  <wp:posOffset>-981710</wp:posOffset>
                </wp:positionV>
                <wp:extent cx="342265" cy="873760"/>
                <wp:effectExtent l="4445" t="5080" r="15240" b="16510"/>
                <wp:wrapNone/>
                <wp:docPr id="28" name="文本框 28"/>
                <wp:cNvGraphicFramePr/>
                <a:graphic xmlns:a="http://schemas.openxmlformats.org/drawingml/2006/main">
                  <a:graphicData uri="http://schemas.microsoft.com/office/word/2010/wordprocessingShape">
                    <wps:wsp>
                      <wps:cNvSpPr txBox="1"/>
                      <wps:spPr>
                        <a:xfrm>
                          <a:off x="0" y="0"/>
                          <a:ext cx="342265" cy="873760"/>
                        </a:xfrm>
                        <a:prstGeom prst="rect">
                          <a:avLst/>
                        </a:prstGeom>
                        <a:noFill/>
                        <a:ln w="9525" cap="flat" cmpd="sng">
                          <a:solidFill>
                            <a:srgbClr val="000000"/>
                          </a:solidFill>
                          <a:prstDash val="solid"/>
                          <a:miter/>
                          <a:headEnd type="none" w="med" len="med"/>
                          <a:tailEnd type="none" w="med" len="med"/>
                        </a:ln>
                      </wps:spPr>
                      <wps:txbx>
                        <w:txbxContent>
                          <w:p>
                            <w:pPr>
                              <w:spacing w:before="54"/>
                              <w:ind w:left="151" w:right="0" w:firstLine="0"/>
                              <w:jc w:val="left"/>
                              <w:rPr>
                                <w:rFonts w:hint="eastAsia" w:ascii="宋体" w:eastAsia="宋体"/>
                                <w:sz w:val="21"/>
                              </w:rPr>
                            </w:pPr>
                            <w:r>
                              <w:rPr>
                                <w:rFonts w:hint="eastAsia" w:ascii="宋体" w:eastAsia="宋体"/>
                                <w:sz w:val="21"/>
                              </w:rPr>
                              <w:t>各施工单位</w:t>
                            </w:r>
                          </w:p>
                        </w:txbxContent>
                      </wps:txbx>
                      <wps:bodyPr vert="vert" lIns="0" tIns="0" rIns="0" bIns="0" upright="1"/>
                    </wps:wsp>
                  </a:graphicData>
                </a:graphic>
              </wp:anchor>
            </w:drawing>
          </mc:Choice>
          <mc:Fallback>
            <w:pict>
              <v:shape id="_x0000_s1026" o:spid="_x0000_s1026" o:spt="202" type="#_x0000_t202" style="position:absolute;left:0pt;margin-left:373.5pt;margin-top:-77.3pt;height:68.8pt;width:26.95pt;mso-position-horizontal-relative:page;z-index:251664384;mso-width-relative:page;mso-height-relative:page;" filled="f" stroked="t" coordsize="21600,21600" o:gfxdata="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Asrogrd&#10;AAAADAEAAA8AAAAAAAAAAQAgAAAAIgAAAGRycy9kb3ducmV2LnhtbFBLAQIUABQAAAAIAIdO4kDP&#10;uY3DGwIAAD4EAAAOAAAAAAAAAAEAIAAAACwBAABkcnMvZTJvRG9jLnhtbFBLBQYAAAAABgAGAFkB&#10;AAC5BQAAAAA=&#10;">
                <v:fill on="f" focussize="0,0"/>
                <v:stroke color="#000000" joinstyle="miter"/>
                <v:imagedata o:title=""/>
                <o:lock v:ext="edit" aspectratio="f"/>
                <v:textbox inset="0mm,0mm,0mm,0mm" style="layout-flow:vertical;">
                  <w:txbxContent>
                    <w:p>
                      <w:pPr>
                        <w:spacing w:before="54"/>
                        <w:ind w:left="151" w:right="0" w:firstLine="0"/>
                        <w:jc w:val="left"/>
                        <w:rPr>
                          <w:rFonts w:hint="eastAsia" w:ascii="宋体" w:eastAsia="宋体"/>
                          <w:sz w:val="21"/>
                        </w:rPr>
                      </w:pPr>
                      <w:r>
                        <w:rPr>
                          <w:rFonts w:hint="eastAsia" w:ascii="宋体" w:eastAsia="宋体"/>
                          <w:sz w:val="21"/>
                        </w:rPr>
                        <w:t>各施工单位</w:t>
                      </w:r>
                    </w:p>
                  </w:txbxContent>
                </v:textbox>
              </v:shape>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65408" behindDoc="0" locked="0" layoutInCell="1" allowOverlap="1">
                <wp:simplePos x="0" y="0"/>
                <wp:positionH relativeFrom="page">
                  <wp:posOffset>3709670</wp:posOffset>
                </wp:positionH>
                <wp:positionV relativeFrom="paragraph">
                  <wp:posOffset>-981710</wp:posOffset>
                </wp:positionV>
                <wp:extent cx="342265" cy="873760"/>
                <wp:effectExtent l="4445" t="5080" r="15240" b="16510"/>
                <wp:wrapNone/>
                <wp:docPr id="29" name="文本框 29"/>
                <wp:cNvGraphicFramePr/>
                <a:graphic xmlns:a="http://schemas.openxmlformats.org/drawingml/2006/main">
                  <a:graphicData uri="http://schemas.microsoft.com/office/word/2010/wordprocessingShape">
                    <wps:wsp>
                      <wps:cNvSpPr txBox="1"/>
                      <wps:spPr>
                        <a:xfrm>
                          <a:off x="0" y="0"/>
                          <a:ext cx="342265" cy="873760"/>
                        </a:xfrm>
                        <a:prstGeom prst="rect">
                          <a:avLst/>
                        </a:prstGeom>
                        <a:noFill/>
                        <a:ln w="9525" cap="flat" cmpd="sng">
                          <a:solidFill>
                            <a:srgbClr val="000000"/>
                          </a:solidFill>
                          <a:prstDash val="solid"/>
                          <a:miter/>
                          <a:headEnd type="none" w="med" len="med"/>
                          <a:tailEnd type="none" w="med" len="med"/>
                        </a:ln>
                      </wps:spPr>
                      <wps:txbx>
                        <w:txbxContent>
                          <w:p>
                            <w:pPr>
                              <w:spacing w:before="54"/>
                              <w:ind w:left="256" w:right="0" w:firstLine="0"/>
                              <w:jc w:val="left"/>
                              <w:rPr>
                                <w:rFonts w:hint="eastAsia" w:ascii="宋体" w:eastAsia="宋体"/>
                                <w:sz w:val="21"/>
                              </w:rPr>
                            </w:pPr>
                            <w:r>
                              <w:rPr>
                                <w:rFonts w:hint="eastAsia" w:ascii="宋体" w:eastAsia="宋体"/>
                                <w:sz w:val="21"/>
                              </w:rPr>
                              <w:t>监测单位</w:t>
                            </w:r>
                          </w:p>
                        </w:txbxContent>
                      </wps:txbx>
                      <wps:bodyPr vert="vert" lIns="0" tIns="0" rIns="0" bIns="0" upright="1"/>
                    </wps:wsp>
                  </a:graphicData>
                </a:graphic>
              </wp:anchor>
            </w:drawing>
          </mc:Choice>
          <mc:Fallback>
            <w:pict>
              <v:shape id="_x0000_s1026" o:spid="_x0000_s1026" o:spt="202" type="#_x0000_t202" style="position:absolute;left:0pt;margin-left:292.1pt;margin-top:-77.3pt;height:68.8pt;width:26.95pt;mso-position-horizontal-relative:page;z-index:251665408;mso-width-relative:page;mso-height-relative:page;" filled="f" stroked="t" coordsize="21600,21600" o:gfxdata="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Cr2jgK&#10;3QAAAAwBAAAPAAAAAAAAAAEAIAAAACIAAABkcnMvZG93bnJldi54bWxQSwECFAAUAAAACACHTuJA&#10;eURm/xwCAAA+BAAADgAAAAAAAAABACAAAAAsAQAAZHJzL2Uyb0RvYy54bWxQSwUGAAAAAAYABgBZ&#10;AQAAugUAAAAA&#10;">
                <v:fill on="f" focussize="0,0"/>
                <v:stroke color="#000000" joinstyle="miter"/>
                <v:imagedata o:title=""/>
                <o:lock v:ext="edit" aspectratio="f"/>
                <v:textbox inset="0mm,0mm,0mm,0mm" style="layout-flow:vertical;">
                  <w:txbxContent>
                    <w:p>
                      <w:pPr>
                        <w:spacing w:before="54"/>
                        <w:ind w:left="256" w:right="0" w:firstLine="0"/>
                        <w:jc w:val="left"/>
                        <w:rPr>
                          <w:rFonts w:hint="eastAsia" w:ascii="宋体" w:eastAsia="宋体"/>
                          <w:sz w:val="21"/>
                        </w:rPr>
                      </w:pPr>
                      <w:r>
                        <w:rPr>
                          <w:rFonts w:hint="eastAsia" w:ascii="宋体" w:eastAsia="宋体"/>
                          <w:sz w:val="21"/>
                        </w:rPr>
                        <w:t>监测单位</w:t>
                      </w:r>
                    </w:p>
                  </w:txbxContent>
                </v:textbox>
              </v:shape>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66432" behindDoc="0" locked="0" layoutInCell="1" allowOverlap="1">
                <wp:simplePos x="0" y="0"/>
                <wp:positionH relativeFrom="page">
                  <wp:posOffset>2485390</wp:posOffset>
                </wp:positionH>
                <wp:positionV relativeFrom="paragraph">
                  <wp:posOffset>-981710</wp:posOffset>
                </wp:positionV>
                <wp:extent cx="342900" cy="873760"/>
                <wp:effectExtent l="4445" t="5080" r="14605" b="16510"/>
                <wp:wrapNone/>
                <wp:docPr id="30" name="文本框 30"/>
                <wp:cNvGraphicFramePr/>
                <a:graphic xmlns:a="http://schemas.openxmlformats.org/drawingml/2006/main">
                  <a:graphicData uri="http://schemas.microsoft.com/office/word/2010/wordprocessingShape">
                    <wps:wsp>
                      <wps:cNvSpPr txBox="1"/>
                      <wps:spPr>
                        <a:xfrm>
                          <a:off x="0" y="0"/>
                          <a:ext cx="342900" cy="873760"/>
                        </a:xfrm>
                        <a:prstGeom prst="rect">
                          <a:avLst/>
                        </a:prstGeom>
                        <a:noFill/>
                        <a:ln w="9525" cap="flat" cmpd="sng">
                          <a:solidFill>
                            <a:srgbClr val="000000"/>
                          </a:solidFill>
                          <a:prstDash val="solid"/>
                          <a:miter/>
                          <a:headEnd type="none" w="med" len="med"/>
                          <a:tailEnd type="none" w="med" len="med"/>
                        </a:ln>
                      </wps:spPr>
                      <wps:txbx>
                        <w:txbxContent>
                          <w:p>
                            <w:pPr>
                              <w:spacing w:before="55"/>
                              <w:ind w:left="256" w:right="0" w:firstLine="0"/>
                              <w:jc w:val="left"/>
                              <w:rPr>
                                <w:rFonts w:hint="eastAsia" w:ascii="宋体" w:eastAsia="宋体"/>
                                <w:sz w:val="21"/>
                              </w:rPr>
                            </w:pPr>
                            <w:r>
                              <w:rPr>
                                <w:rFonts w:hint="eastAsia" w:ascii="宋体" w:eastAsia="宋体"/>
                                <w:sz w:val="21"/>
                              </w:rPr>
                              <w:t>监理单位</w:t>
                            </w:r>
                          </w:p>
                        </w:txbxContent>
                      </wps:txbx>
                      <wps:bodyPr vert="vert" lIns="0" tIns="0" rIns="0" bIns="0" upright="1"/>
                    </wps:wsp>
                  </a:graphicData>
                </a:graphic>
              </wp:anchor>
            </w:drawing>
          </mc:Choice>
          <mc:Fallback>
            <w:pict>
              <v:shape id="_x0000_s1026" o:spid="_x0000_s1026" o:spt="202" type="#_x0000_t202" style="position:absolute;left:0pt;margin-left:195.7pt;margin-top:-77.3pt;height:68.8pt;width:27pt;mso-position-horizontal-relative:page;z-index:251666432;mso-width-relative:page;mso-height-relative:page;" filled="f" stroked="t" coordsize="21600,21600" o:gfxdata="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C8APed0A&#10;AAAMAQAADwAAAAAAAAABACAAAAAiAAAAZHJzL2Rvd25yZXYueG1sUEsBAhQAFAAAAAgAh07iQNJc&#10;+mEaAgAAPgQAAA4AAAAAAAAAAQAgAAAALAEAAGRycy9lMm9Eb2MueG1sUEsFBgAAAAAGAAYAWQEA&#10;ALgFAAAAAA==&#10;">
                <v:fill on="f" focussize="0,0"/>
                <v:stroke color="#000000" joinstyle="miter"/>
                <v:imagedata o:title=""/>
                <o:lock v:ext="edit" aspectratio="f"/>
                <v:textbox inset="0mm,0mm,0mm,0mm" style="layout-flow:vertical;">
                  <w:txbxContent>
                    <w:p>
                      <w:pPr>
                        <w:spacing w:before="55"/>
                        <w:ind w:left="256" w:right="0" w:firstLine="0"/>
                        <w:jc w:val="left"/>
                        <w:rPr>
                          <w:rFonts w:hint="eastAsia" w:ascii="宋体" w:eastAsia="宋体"/>
                          <w:sz w:val="21"/>
                        </w:rPr>
                      </w:pPr>
                      <w:r>
                        <w:rPr>
                          <w:rFonts w:hint="eastAsia" w:ascii="宋体" w:eastAsia="宋体"/>
                          <w:sz w:val="21"/>
                        </w:rPr>
                        <w:t>监理单位</w:t>
                      </w:r>
                    </w:p>
                  </w:txbxContent>
                </v:textbox>
              </v:shape>
            </w:pict>
          </mc:Fallback>
        </mc:AlternateContent>
      </w:r>
      <w:r>
        <w:rPr>
          <w:rFonts w:hint="default" w:ascii="Times New Roman" w:hAnsi="Times New Roman" w:cs="Times New Roman"/>
          <w:color w:val="auto"/>
          <w:highlight w:val="none"/>
        </w:rPr>
        <mc:AlternateContent>
          <mc:Choice Requires="wps">
            <w:drawing>
              <wp:anchor distT="0" distB="0" distL="114300" distR="114300" simplePos="0" relativeHeight="251667456" behindDoc="0" locked="0" layoutInCell="1" allowOverlap="1">
                <wp:simplePos x="0" y="0"/>
                <wp:positionH relativeFrom="page">
                  <wp:posOffset>1418590</wp:posOffset>
                </wp:positionH>
                <wp:positionV relativeFrom="paragraph">
                  <wp:posOffset>-981710</wp:posOffset>
                </wp:positionV>
                <wp:extent cx="342900" cy="873760"/>
                <wp:effectExtent l="4445" t="5080" r="14605" b="16510"/>
                <wp:wrapNone/>
                <wp:docPr id="31" name="文本框 31"/>
                <wp:cNvGraphicFramePr/>
                <a:graphic xmlns:a="http://schemas.openxmlformats.org/drawingml/2006/main">
                  <a:graphicData uri="http://schemas.microsoft.com/office/word/2010/wordprocessingShape">
                    <wps:wsp>
                      <wps:cNvSpPr txBox="1"/>
                      <wps:spPr>
                        <a:xfrm>
                          <a:off x="0" y="0"/>
                          <a:ext cx="342900" cy="873760"/>
                        </a:xfrm>
                        <a:prstGeom prst="rect">
                          <a:avLst/>
                        </a:prstGeom>
                        <a:noFill/>
                        <a:ln w="9525" cap="flat" cmpd="sng">
                          <a:solidFill>
                            <a:srgbClr val="000000"/>
                          </a:solidFill>
                          <a:prstDash val="solid"/>
                          <a:miter/>
                          <a:headEnd type="none" w="med" len="med"/>
                          <a:tailEnd type="none" w="med" len="med"/>
                        </a:ln>
                      </wps:spPr>
                      <wps:txbx>
                        <w:txbxContent>
                          <w:p>
                            <w:pPr>
                              <w:spacing w:before="55"/>
                              <w:ind w:left="255" w:right="0" w:firstLine="0"/>
                              <w:jc w:val="left"/>
                              <w:rPr>
                                <w:rFonts w:hint="eastAsia" w:ascii="宋体" w:eastAsia="宋体"/>
                                <w:sz w:val="21"/>
                              </w:rPr>
                            </w:pPr>
                            <w:r>
                              <w:rPr>
                                <w:rFonts w:hint="eastAsia" w:ascii="宋体" w:eastAsia="宋体"/>
                                <w:sz w:val="21"/>
                              </w:rPr>
                              <w:t>设计单位</w:t>
                            </w:r>
                          </w:p>
                        </w:txbxContent>
                      </wps:txbx>
                      <wps:bodyPr vert="vert" lIns="0" tIns="0" rIns="0" bIns="0" upright="1"/>
                    </wps:wsp>
                  </a:graphicData>
                </a:graphic>
              </wp:anchor>
            </w:drawing>
          </mc:Choice>
          <mc:Fallback>
            <w:pict>
              <v:shape id="_x0000_s1026" o:spid="_x0000_s1026" o:spt="202" type="#_x0000_t202" style="position:absolute;left:0pt;margin-left:111.7pt;margin-top:-77.3pt;height:68.8pt;width:27pt;mso-position-horizontal-relative:page;z-index:251667456;mso-width-relative:page;mso-height-relative:page;" filled="f" stroked="t" coordsize="21600,21600" o:gfxdata="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">
                <v:fill on="f" focussize="0,0"/>
                <v:stroke color="#000000" joinstyle="miter"/>
                <v:imagedata o:title=""/>
                <o:lock v:ext="edit" aspectratio="f"/>
                <v:textbox inset="0mm,0mm,0mm,0mm" style="layout-flow:vertical;">
                  <w:txbxContent>
                    <w:p>
                      <w:pPr>
                        <w:spacing w:before="55"/>
                        <w:ind w:left="255" w:right="0" w:firstLine="0"/>
                        <w:jc w:val="left"/>
                        <w:rPr>
                          <w:rFonts w:hint="eastAsia" w:ascii="宋体" w:eastAsia="宋体"/>
                          <w:sz w:val="21"/>
                        </w:rPr>
                      </w:pPr>
                      <w:r>
                        <w:rPr>
                          <w:rFonts w:hint="eastAsia" w:ascii="宋体" w:eastAsia="宋体"/>
                          <w:sz w:val="21"/>
                        </w:rPr>
                        <w:t>设计单位</w:t>
                      </w:r>
                    </w:p>
                  </w:txbxContent>
                </v:textbox>
              </v:shape>
            </w:pict>
          </mc:Fallback>
        </mc:AlternateContent>
      </w:r>
      <w:r>
        <w:rPr>
          <w:rFonts w:hint="default" w:ascii="Times New Roman" w:hAnsi="Times New Roman" w:cs="Times New Roman"/>
          <w:color w:val="auto"/>
          <w:highlight w:val="none"/>
        </w:rPr>
        <w:t>水土保持工作领导小组组织机构图</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二、工作制度</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500"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5"/>
          <w:highlight w:val="none"/>
          <w:lang w:val="en-US" w:eastAsia="zh-CN"/>
        </w:rPr>
        <w:t>衡阳市城市建设投资</w:t>
      </w:r>
      <w:r>
        <w:rPr>
          <w:rFonts w:hint="default" w:ascii="Times New Roman" w:hAnsi="Times New Roman" w:cs="Times New Roman"/>
          <w:color w:val="auto"/>
          <w:spacing w:val="5"/>
          <w:highlight w:val="none"/>
        </w:rPr>
        <w:t>有限公司将水土保持工作当做贯彻落实国家生态绿色工程建设</w:t>
      </w:r>
      <w:r>
        <w:rPr>
          <w:rFonts w:hint="default" w:ascii="Times New Roman" w:hAnsi="Times New Roman" w:cs="Times New Roman"/>
          <w:color w:val="auto"/>
          <w:spacing w:val="-6"/>
          <w:highlight w:val="none"/>
        </w:rPr>
        <w:t>的重要举措，水土保持工作与工程主体工作同等重要。在工程建设过程中，水土保持工</w:t>
      </w:r>
      <w:r>
        <w:rPr>
          <w:rFonts w:hint="default" w:ascii="Times New Roman" w:hAnsi="Times New Roman" w:cs="Times New Roman"/>
          <w:color w:val="auto"/>
          <w:highlight w:val="none"/>
        </w:rPr>
        <w:t>作与主体工程应贯彻</w:t>
      </w:r>
      <w:r>
        <w:rPr>
          <w:rFonts w:hint="default" w:ascii="Times New Roman" w:hAnsi="Times New Roman" w:eastAsia="Times New Roman" w:cs="Times New Roman"/>
          <w:color w:val="auto"/>
          <w:highlight w:val="none"/>
        </w:rPr>
        <w:t>“</w:t>
      </w:r>
      <w:r>
        <w:rPr>
          <w:rFonts w:hint="default" w:ascii="Times New Roman" w:hAnsi="Times New Roman" w:cs="Times New Roman"/>
          <w:color w:val="auto"/>
          <w:highlight w:val="none"/>
        </w:rPr>
        <w:t>同时设计、同时施工、同时投产</w:t>
      </w:r>
      <w:r>
        <w:rPr>
          <w:rFonts w:hint="default" w:ascii="Times New Roman" w:hAnsi="Times New Roman" w:eastAsia="Times New Roman" w:cs="Times New Roman"/>
          <w:color w:val="auto"/>
          <w:highlight w:val="none"/>
        </w:rPr>
        <w:t>”</w:t>
      </w:r>
      <w:r>
        <w:rPr>
          <w:rFonts w:hint="default" w:ascii="Times New Roman" w:hAnsi="Times New Roman" w:cs="Times New Roman"/>
          <w:color w:val="auto"/>
          <w:highlight w:val="none"/>
        </w:rPr>
        <w:t>的</w:t>
      </w:r>
      <w:r>
        <w:rPr>
          <w:rFonts w:hint="default" w:ascii="Times New Roman" w:hAnsi="Times New Roman" w:eastAsia="Times New Roman" w:cs="Times New Roman"/>
          <w:color w:val="auto"/>
          <w:highlight w:val="none"/>
        </w:rPr>
        <w:t>“</w:t>
      </w:r>
      <w:r>
        <w:rPr>
          <w:rFonts w:hint="default" w:ascii="Times New Roman" w:hAnsi="Times New Roman" w:cs="Times New Roman"/>
          <w:color w:val="auto"/>
          <w:highlight w:val="none"/>
        </w:rPr>
        <w:t>三同时</w:t>
      </w:r>
      <w:r>
        <w:rPr>
          <w:rFonts w:hint="default" w:ascii="Times New Roman" w:hAnsi="Times New Roman" w:eastAsia="Times New Roman" w:cs="Times New Roman"/>
          <w:color w:val="auto"/>
          <w:highlight w:val="none"/>
        </w:rPr>
        <w:t>”</w:t>
      </w:r>
      <w:r>
        <w:rPr>
          <w:rFonts w:hint="default" w:ascii="Times New Roman" w:hAnsi="Times New Roman" w:cs="Times New Roman"/>
          <w:color w:val="auto"/>
          <w:highlight w:val="none"/>
        </w:rPr>
        <w:t>方针。在施工过程中保护生态环境，减少水土流失。</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三、执行情况</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500"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5"/>
          <w:highlight w:val="none"/>
          <w:lang w:val="en-US" w:eastAsia="zh-CN"/>
        </w:rPr>
        <w:t>衡阳市城市建设投资</w:t>
      </w:r>
      <w:r>
        <w:rPr>
          <w:rFonts w:hint="default" w:ascii="Times New Roman" w:hAnsi="Times New Roman" w:cs="Times New Roman"/>
          <w:color w:val="auto"/>
          <w:spacing w:val="5"/>
          <w:highlight w:val="none"/>
        </w:rPr>
        <w:t>有限公司</w:t>
      </w:r>
      <w:r>
        <w:rPr>
          <w:rFonts w:hint="default" w:ascii="Times New Roman" w:hAnsi="Times New Roman" w:cs="Times New Roman"/>
          <w:color w:val="auto"/>
          <w:spacing w:val="-3"/>
          <w:highlight w:val="none"/>
        </w:rPr>
        <w:t>高度重视铅项目的水土保持工作，按照《中华人民共和</w:t>
      </w:r>
      <w:r>
        <w:rPr>
          <w:rFonts w:hint="default" w:ascii="Times New Roman" w:hAnsi="Times New Roman" w:cs="Times New Roman"/>
          <w:color w:val="auto"/>
          <w:spacing w:val="-21"/>
          <w:highlight w:val="none"/>
        </w:rPr>
        <w:t>国水土保持法》、《〈中华人民共和国水土保持法〉实施条例》等制度的要求，成立了水</w:t>
      </w:r>
      <w:r>
        <w:rPr>
          <w:rFonts w:hint="default" w:ascii="Times New Roman" w:hAnsi="Times New Roman" w:cs="Times New Roman"/>
          <w:color w:val="auto"/>
          <w:spacing w:val="-15"/>
          <w:highlight w:val="none"/>
        </w:rPr>
        <w:t>土保持领导小组，组织参建单位召开了水土保持监测启动会，定期召开水土保持专项现</w:t>
      </w:r>
      <w:r>
        <w:rPr>
          <w:rFonts w:hint="default" w:ascii="Times New Roman" w:hAnsi="Times New Roman" w:cs="Times New Roman"/>
          <w:color w:val="auto"/>
          <w:spacing w:val="-7"/>
          <w:highlight w:val="none"/>
        </w:rPr>
        <w:t>场会议，检查工程现场的水土保持防治效果，针对水土保持监测意见，狠抓落实，有效</w:t>
      </w:r>
      <w:r>
        <w:rPr>
          <w:rFonts w:hint="default" w:ascii="Times New Roman" w:hAnsi="Times New Roman" w:cs="Times New Roman"/>
          <w:color w:val="auto"/>
          <w:highlight w:val="none"/>
        </w:rPr>
        <w:t>地控制了水土流失恶化。</w:t>
      </w:r>
    </w:p>
    <w:p>
      <w:pPr>
        <w:pStyle w:val="8"/>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position w:val="-1"/>
          <w:highlight w:val="none"/>
        </w:rPr>
        <w:t>施工单位</w:t>
      </w:r>
      <w:r>
        <w:rPr>
          <w:rFonts w:hint="default" w:ascii="Times New Roman" w:hAnsi="Times New Roman" w:cs="Times New Roman"/>
          <w:color w:val="auto"/>
          <w:position w:val="-1"/>
          <w:highlight w:val="none"/>
          <w:lang w:val="en-US" w:eastAsia="zh-CN"/>
        </w:rPr>
        <w:t>中南设计集团</w:t>
      </w:r>
      <w:r>
        <w:rPr>
          <w:rFonts w:hint="default" w:ascii="Times New Roman" w:hAnsi="Times New Roman" w:cs="Times New Roman"/>
          <w:color w:val="auto"/>
          <w:spacing w:val="-3"/>
          <w:highlight w:val="none"/>
        </w:rPr>
        <w:t>有限公司、</w:t>
      </w:r>
      <w:r>
        <w:rPr>
          <w:rFonts w:hint="default" w:ascii="Times New Roman" w:hAnsi="Times New Roman" w:cs="Times New Roman"/>
          <w:color w:val="auto"/>
          <w:spacing w:val="-4"/>
          <w:highlight w:val="none"/>
        </w:rPr>
        <w:t>监测单位</w:t>
      </w:r>
      <w:r>
        <w:rPr>
          <w:rFonts w:hint="default" w:ascii="Times New Roman" w:hAnsi="Times New Roman" w:cs="Times New Roman"/>
          <w:color w:val="auto"/>
          <w:spacing w:val="-4"/>
          <w:highlight w:val="none"/>
          <w:lang w:val="en-US" w:eastAsia="zh-CN"/>
        </w:rPr>
        <w:t>湖南华意项目管理有限公司</w:t>
      </w:r>
      <w:r>
        <w:rPr>
          <w:rFonts w:hint="default" w:ascii="Times New Roman" w:hAnsi="Times New Roman" w:cs="Times New Roman"/>
          <w:color w:val="auto"/>
          <w:spacing w:val="-4"/>
          <w:highlight w:val="none"/>
        </w:rPr>
        <w:t>提出的意见，及时清理站外堆土，集中堆放，对</w:t>
      </w:r>
      <w:r>
        <w:rPr>
          <w:rFonts w:hint="default" w:ascii="Times New Roman" w:hAnsi="Times New Roman" w:cs="Times New Roman"/>
          <w:color w:val="auto"/>
          <w:highlight w:val="none"/>
        </w:rPr>
        <w:t>裸露地表采取防尘网苫盖，洒水降尘，很好地履行了水土保持责任。</w:t>
      </w:r>
    </w:p>
    <w:p>
      <w:pPr>
        <w:pStyle w:val="8"/>
        <w:keepNext w:val="0"/>
        <w:keepLines w:val="0"/>
        <w:pageBreakBefore w:val="0"/>
        <w:widowControl w:val="0"/>
        <w:kinsoku/>
        <w:wordWrap/>
        <w:overflowPunct/>
        <w:topLinePunct w:val="0"/>
        <w:autoSpaceDE/>
        <w:autoSpaceDN/>
        <w:bidi w:val="0"/>
        <w:adjustRightInd/>
        <w:snapToGrid/>
        <w:spacing w:line="360" w:lineRule="auto"/>
        <w:ind w:left="0" w:right="0" w:firstLine="448"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8"/>
          <w:highlight w:val="none"/>
        </w:rPr>
        <w:t>截至目前，</w:t>
      </w:r>
      <w:r>
        <w:rPr>
          <w:rFonts w:hint="default" w:ascii="Times New Roman" w:hAnsi="Times New Roman" w:cs="Times New Roman"/>
          <w:color w:val="auto"/>
          <w:spacing w:val="-8"/>
          <w:highlight w:val="none"/>
          <w:lang w:val="en-US" w:eastAsia="zh-CN"/>
        </w:rPr>
        <w:t>华天路新建工程</w:t>
      </w:r>
      <w:r>
        <w:rPr>
          <w:rFonts w:hint="default" w:ascii="Times New Roman" w:hAnsi="Times New Roman" w:cs="Times New Roman"/>
          <w:color w:val="auto"/>
          <w:spacing w:val="-8"/>
          <w:highlight w:val="none"/>
        </w:rPr>
        <w:t>项目的所有施工均</w:t>
      </w:r>
      <w:r>
        <w:rPr>
          <w:rFonts w:hint="default" w:ascii="Times New Roman" w:hAnsi="Times New Roman" w:cs="Times New Roman"/>
          <w:color w:val="auto"/>
          <w:highlight w:val="none"/>
        </w:rPr>
        <w:t>已完成；工程措施均已完工，项目区已完成硬化和绿化。</w:t>
      </w:r>
    </w:p>
    <w:p>
      <w:pPr>
        <w:keepNext w:val="0"/>
        <w:keepLines w:val="0"/>
        <w:pageBreakBefore w:val="0"/>
        <w:widowControl w:val="0"/>
        <w:kinsoku/>
        <w:wordWrap/>
        <w:overflowPunct/>
        <w:topLinePunct w:val="0"/>
        <w:autoSpaceDE/>
        <w:autoSpaceDN/>
        <w:bidi w:val="0"/>
        <w:adjustRightInd/>
        <w:snapToGrid/>
        <w:spacing w:line="360" w:lineRule="auto"/>
        <w:ind w:left="0" w:right="0" w:firstLine="468"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spacing w:val="-3"/>
          <w:highlight w:val="none"/>
          <w:lang w:val="en-US" w:eastAsia="zh-CN"/>
        </w:rPr>
        <w:t>华天路新建工程</w:t>
      </w:r>
      <w:r>
        <w:rPr>
          <w:rFonts w:hint="default" w:ascii="Times New Roman" w:hAnsi="Times New Roman" w:cs="Times New Roman"/>
          <w:color w:val="auto"/>
          <w:spacing w:val="-3"/>
          <w:highlight w:val="none"/>
        </w:rPr>
        <w:t>项目建设期间，建设单位、施</w:t>
      </w:r>
      <w:r>
        <w:rPr>
          <w:rFonts w:hint="default" w:ascii="Times New Roman" w:hAnsi="Times New Roman" w:cs="Times New Roman"/>
          <w:color w:val="auto"/>
          <w:highlight w:val="none"/>
        </w:rPr>
        <w:t>工单位能够认真贯彻水土保持</w:t>
      </w:r>
      <w:r>
        <w:rPr>
          <w:rFonts w:hint="default" w:ascii="Times New Roman" w:hAnsi="Times New Roman" w:eastAsia="Times New Roman" w:cs="Times New Roman"/>
          <w:color w:val="auto"/>
          <w:highlight w:val="none"/>
        </w:rPr>
        <w:t>“</w:t>
      </w:r>
      <w:r>
        <w:rPr>
          <w:rFonts w:hint="default" w:ascii="Times New Roman" w:hAnsi="Times New Roman" w:cs="Times New Roman"/>
          <w:color w:val="auto"/>
          <w:highlight w:val="none"/>
        </w:rPr>
        <w:t>三同时</w:t>
      </w:r>
      <w:r>
        <w:rPr>
          <w:rFonts w:hint="default" w:ascii="Times New Roman" w:hAnsi="Times New Roman" w:eastAsia="Times New Roman" w:cs="Times New Roman"/>
          <w:color w:val="auto"/>
          <w:highlight w:val="none"/>
        </w:rPr>
        <w:t>”</w:t>
      </w:r>
      <w:r>
        <w:rPr>
          <w:rFonts w:hint="default" w:ascii="Times New Roman" w:hAnsi="Times New Roman" w:cs="Times New Roman"/>
          <w:color w:val="auto"/>
          <w:spacing w:val="-5"/>
          <w:highlight w:val="none"/>
        </w:rPr>
        <w:t>要求，水土保持制度健全，水土保持措施及时到</w:t>
      </w:r>
      <w:r>
        <w:rPr>
          <w:rFonts w:hint="default" w:ascii="Times New Roman" w:hAnsi="Times New Roman" w:cs="Times New Roman"/>
          <w:color w:val="auto"/>
          <w:highlight w:val="none"/>
        </w:rPr>
        <w:t>位，达到了水土保持过程管控要求。</w:t>
      </w:r>
    </w:p>
    <w:p>
      <w:pPr>
        <w:pStyle w:val="3"/>
        <w:numPr>
          <w:ilvl w:val="0"/>
          <w:numId w:val="0"/>
        </w:numPr>
        <w:bidi w:val="0"/>
        <w:spacing w:line="360" w:lineRule="auto"/>
        <w:ind w:leftChars="0"/>
        <w:rPr>
          <w:rFonts w:hint="default" w:ascii="Times New Roman" w:hAnsi="Times New Roman" w:cs="Times New Roman"/>
          <w:color w:val="auto"/>
          <w:highlight w:val="none"/>
          <w:lang w:val="en-US" w:eastAsia="zh-CN"/>
        </w:rPr>
      </w:pPr>
      <w:bookmarkStart w:id="216" w:name="_Toc1937"/>
      <w:bookmarkStart w:id="217" w:name="_Toc17929"/>
      <w:bookmarkStart w:id="218" w:name="_Toc17028"/>
      <w:bookmarkStart w:id="219" w:name="_Toc25889"/>
      <w:r>
        <w:rPr>
          <w:rFonts w:hint="default" w:ascii="Times New Roman" w:hAnsi="Times New Roman" w:cs="Times New Roman"/>
          <w:color w:val="auto"/>
          <w:highlight w:val="none"/>
          <w:lang w:val="en-US" w:eastAsia="zh-CN"/>
        </w:rPr>
        <w:t>1.3 监测工作实施情况</w:t>
      </w:r>
      <w:bookmarkEnd w:id="216"/>
      <w:bookmarkEnd w:id="217"/>
      <w:bookmarkEnd w:id="218"/>
      <w:bookmarkEnd w:id="219"/>
    </w:p>
    <w:p>
      <w:pPr>
        <w:pStyle w:val="4"/>
        <w:bidi w:val="0"/>
        <w:spacing w:line="360" w:lineRule="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1.3.1 监测实施方案执行情况</w:t>
      </w:r>
    </w:p>
    <w:p>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2016</w:t>
      </w:r>
      <w:r>
        <w:rPr>
          <w:rFonts w:hint="default" w:ascii="Times New Roman" w:hAnsi="Times New Roman" w:cs="Times New Roman"/>
          <w:color w:val="auto"/>
          <w:highlight w:val="none"/>
        </w:rPr>
        <w:t>年</w:t>
      </w:r>
      <w:r>
        <w:rPr>
          <w:rFonts w:hint="default" w:ascii="Times New Roman" w:hAnsi="Times New Roman" w:cs="Times New Roman"/>
          <w:color w:val="auto"/>
          <w:highlight w:val="none"/>
          <w:lang w:val="en-US" w:eastAsia="zh-CN"/>
        </w:rPr>
        <w:t>10</w:t>
      </w:r>
      <w:r>
        <w:rPr>
          <w:rFonts w:hint="default" w:ascii="Times New Roman" w:hAnsi="Times New Roman" w:cs="Times New Roman"/>
          <w:color w:val="auto"/>
          <w:highlight w:val="none"/>
        </w:rPr>
        <w:t>月，建设单位委托我单位开展本工程水土保持监测工作后，我单位及时组</w:t>
      </w:r>
      <w:r>
        <w:rPr>
          <w:rFonts w:hint="default" w:ascii="Times New Roman" w:hAnsi="Times New Roman" w:cs="Times New Roman"/>
          <w:color w:val="auto"/>
          <w:spacing w:val="-10"/>
          <w:highlight w:val="none"/>
        </w:rPr>
        <w:t xml:space="preserve">建了水土保持监测小组，于 </w:t>
      </w:r>
      <w:r>
        <w:rPr>
          <w:rFonts w:hint="default" w:ascii="Times New Roman" w:hAnsi="Times New Roman" w:eastAsia="Times New Roman" w:cs="Times New Roman"/>
          <w:color w:val="auto"/>
          <w:highlight w:val="none"/>
        </w:rPr>
        <w:t>201</w:t>
      </w:r>
      <w:r>
        <w:rPr>
          <w:rFonts w:hint="default" w:ascii="Times New Roman" w:hAnsi="Times New Roman" w:eastAsia="宋体" w:cs="Times New Roman"/>
          <w:color w:val="auto"/>
          <w:highlight w:val="none"/>
          <w:lang w:val="en-US" w:eastAsia="zh-CN"/>
        </w:rPr>
        <w:t>6</w:t>
      </w:r>
      <w:r>
        <w:rPr>
          <w:rFonts w:hint="default" w:ascii="Times New Roman" w:hAnsi="Times New Roman" w:eastAsia="Times New Roman" w:cs="Times New Roman"/>
          <w:color w:val="auto"/>
          <w:highlight w:val="none"/>
        </w:rPr>
        <w:t xml:space="preserve"> </w:t>
      </w:r>
      <w:r>
        <w:rPr>
          <w:rFonts w:hint="default" w:ascii="Times New Roman" w:hAnsi="Times New Roman" w:cs="Times New Roman"/>
          <w:color w:val="auto"/>
          <w:spacing w:val="-30"/>
          <w:highlight w:val="none"/>
        </w:rPr>
        <w:t xml:space="preserve">年 </w:t>
      </w:r>
      <w:r>
        <w:rPr>
          <w:rFonts w:hint="default" w:ascii="Times New Roman" w:hAnsi="Times New Roman" w:cs="Times New Roman"/>
          <w:color w:val="auto"/>
          <w:spacing w:val="-30"/>
          <w:highlight w:val="none"/>
          <w:lang w:val="en-US" w:eastAsia="zh-CN"/>
        </w:rPr>
        <w:t>10</w:t>
      </w:r>
      <w:r>
        <w:rPr>
          <w:rFonts w:hint="default" w:ascii="Times New Roman" w:hAnsi="Times New Roman" w:eastAsia="Times New Roman" w:cs="Times New Roman"/>
          <w:color w:val="auto"/>
          <w:highlight w:val="none"/>
        </w:rPr>
        <w:t xml:space="preserve"> </w:t>
      </w:r>
      <w:r>
        <w:rPr>
          <w:rFonts w:hint="default" w:ascii="Times New Roman" w:hAnsi="Times New Roman" w:cs="Times New Roman"/>
          <w:color w:val="auto"/>
          <w:spacing w:val="-20"/>
          <w:highlight w:val="none"/>
        </w:rPr>
        <w:t xml:space="preserve">月至 </w:t>
      </w:r>
      <w:r>
        <w:rPr>
          <w:rFonts w:hint="default" w:ascii="Times New Roman" w:hAnsi="Times New Roman" w:eastAsia="Times New Roman" w:cs="Times New Roman"/>
          <w:color w:val="auto"/>
          <w:highlight w:val="none"/>
        </w:rPr>
        <w:t>20</w:t>
      </w:r>
      <w:r>
        <w:rPr>
          <w:rFonts w:hint="default" w:ascii="Times New Roman" w:hAnsi="Times New Roman" w:eastAsia="宋体" w:cs="Times New Roman"/>
          <w:color w:val="auto"/>
          <w:highlight w:val="none"/>
          <w:lang w:val="en-US" w:eastAsia="zh-CN"/>
        </w:rPr>
        <w:t>17</w:t>
      </w:r>
      <w:r>
        <w:rPr>
          <w:rFonts w:hint="default" w:ascii="Times New Roman" w:hAnsi="Times New Roman" w:eastAsia="Times New Roman" w:cs="Times New Roman"/>
          <w:color w:val="auto"/>
          <w:highlight w:val="none"/>
        </w:rPr>
        <w:t xml:space="preserve"> </w:t>
      </w:r>
      <w:r>
        <w:rPr>
          <w:rFonts w:hint="default" w:ascii="Times New Roman" w:hAnsi="Times New Roman" w:cs="Times New Roman"/>
          <w:color w:val="auto"/>
          <w:spacing w:val="-30"/>
          <w:highlight w:val="none"/>
        </w:rPr>
        <w:t xml:space="preserve">年 </w:t>
      </w:r>
      <w:r>
        <w:rPr>
          <w:rFonts w:hint="default" w:ascii="Times New Roman" w:hAnsi="Times New Roman" w:cs="Times New Roman"/>
          <w:color w:val="auto"/>
          <w:spacing w:val="-30"/>
          <w:highlight w:val="none"/>
          <w:lang w:val="en-US" w:eastAsia="zh-CN"/>
        </w:rPr>
        <w:t>10</w:t>
      </w:r>
      <w:r>
        <w:rPr>
          <w:rFonts w:hint="default" w:ascii="Times New Roman" w:hAnsi="Times New Roman" w:eastAsia="Times New Roman" w:cs="Times New Roman"/>
          <w:color w:val="auto"/>
          <w:highlight w:val="none"/>
        </w:rPr>
        <w:t xml:space="preserve"> </w:t>
      </w:r>
      <w:r>
        <w:rPr>
          <w:rFonts w:hint="default" w:ascii="Times New Roman" w:hAnsi="Times New Roman" w:cs="Times New Roman"/>
          <w:color w:val="auto"/>
          <w:spacing w:val="-2"/>
          <w:highlight w:val="none"/>
        </w:rPr>
        <w:t>月按季度开展植被恢复期的水土保</w:t>
      </w:r>
      <w:r>
        <w:rPr>
          <w:rFonts w:hint="default" w:ascii="Times New Roman" w:hAnsi="Times New Roman" w:cs="Times New Roman"/>
          <w:color w:val="auto"/>
          <w:spacing w:val="-7"/>
          <w:highlight w:val="none"/>
        </w:rPr>
        <w:t>持工作，在监测过程中未发生水土流失危害事件；采取调查监测和资料收集相结合的方</w:t>
      </w:r>
      <w:r>
        <w:rPr>
          <w:rFonts w:hint="default" w:ascii="Times New Roman" w:hAnsi="Times New Roman" w:cs="Times New Roman"/>
          <w:color w:val="auto"/>
          <w:spacing w:val="-4"/>
          <w:highlight w:val="none"/>
        </w:rPr>
        <w:t xml:space="preserve">法，于主体工程区共设置监测点 </w:t>
      </w:r>
      <w:r>
        <w:rPr>
          <w:rFonts w:hint="default" w:ascii="Times New Roman" w:hAnsi="Times New Roman" w:eastAsia="Times New Roman" w:cs="Times New Roman"/>
          <w:color w:val="auto"/>
          <w:highlight w:val="none"/>
        </w:rPr>
        <w:t xml:space="preserve">4 </w:t>
      </w:r>
      <w:r>
        <w:rPr>
          <w:rFonts w:hint="default" w:ascii="Times New Roman" w:hAnsi="Times New Roman" w:cs="Times New Roman"/>
          <w:color w:val="auto"/>
          <w:highlight w:val="none"/>
        </w:rPr>
        <w:t>处，并编写监测季报及年报。</w:t>
      </w:r>
    </w:p>
    <w:p>
      <w:pPr>
        <w:pStyle w:val="4"/>
        <w:bidi w:val="0"/>
        <w:spacing w:line="360" w:lineRule="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1.3.2 监测项目部设置</w:t>
      </w:r>
    </w:p>
    <w:p>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eastAsia="Times New Roman" w:cs="Times New Roman"/>
          <w:color w:val="auto"/>
          <w:highlight w:val="none"/>
        </w:rPr>
        <w:t>1</w:t>
      </w:r>
      <w:r>
        <w:rPr>
          <w:rFonts w:hint="default" w:ascii="Times New Roman" w:hAnsi="Times New Roman" w:cs="Times New Roman"/>
          <w:color w:val="auto"/>
          <w:highlight w:val="none"/>
        </w:rPr>
        <w:t>、监测项目部组成</w:t>
      </w:r>
    </w:p>
    <w:p>
      <w:pPr>
        <w:pStyle w:val="8"/>
        <w:keepNext w:val="0"/>
        <w:keepLines w:val="0"/>
        <w:pageBreakBefore w:val="0"/>
        <w:widowControl w:val="0"/>
        <w:kinsoku/>
        <w:wordWrap/>
        <w:overflowPunct/>
        <w:topLinePunct w:val="0"/>
        <w:autoSpaceDE/>
        <w:autoSpaceDN/>
        <w:bidi w:val="0"/>
        <w:adjustRightInd/>
        <w:snapToGrid/>
        <w:spacing w:line="360" w:lineRule="auto"/>
        <w:ind w:right="0" w:firstLine="476"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1"/>
          <w:highlight w:val="none"/>
        </w:rPr>
        <w:t xml:space="preserve">为确保工程水土保持监测工作的成果质量，我单位成立了水土保持监测工作小组， </w:t>
      </w:r>
      <w:r>
        <w:rPr>
          <w:rFonts w:hint="default" w:ascii="Times New Roman" w:hAnsi="Times New Roman" w:cs="Times New Roman"/>
          <w:color w:val="auto"/>
          <w:spacing w:val="-10"/>
          <w:highlight w:val="none"/>
        </w:rPr>
        <w:t xml:space="preserve">监测小组由 </w:t>
      </w:r>
      <w:r>
        <w:rPr>
          <w:rFonts w:hint="eastAsia" w:ascii="Times New Roman" w:hAnsi="Times New Roman" w:eastAsia="宋体" w:cs="Times New Roman"/>
          <w:color w:val="auto"/>
          <w:highlight w:val="none"/>
          <w:lang w:val="en-US" w:eastAsia="zh-CN"/>
        </w:rPr>
        <w:t>4</w:t>
      </w:r>
      <w:r>
        <w:rPr>
          <w:rFonts w:hint="default" w:ascii="Times New Roman" w:hAnsi="Times New Roman" w:cs="Times New Roman"/>
          <w:color w:val="auto"/>
          <w:spacing w:val="-8"/>
          <w:highlight w:val="none"/>
        </w:rPr>
        <w:t>人组成，</w:t>
      </w:r>
      <w:r>
        <w:rPr>
          <w:rFonts w:hint="default" w:ascii="Times New Roman" w:hAnsi="Times New Roman" w:cs="Times New Roman"/>
          <w:color w:val="auto"/>
          <w:spacing w:val="-11"/>
          <w:highlight w:val="none"/>
        </w:rPr>
        <w:t xml:space="preserve">监测工程师 </w:t>
      </w:r>
      <w:r>
        <w:rPr>
          <w:rFonts w:hint="default" w:ascii="Times New Roman" w:hAnsi="Times New Roman" w:eastAsia="Times New Roman" w:cs="Times New Roman"/>
          <w:color w:val="auto"/>
          <w:highlight w:val="none"/>
        </w:rPr>
        <w:t xml:space="preserve">2 </w:t>
      </w:r>
      <w:r>
        <w:rPr>
          <w:rFonts w:hint="default" w:ascii="Times New Roman" w:hAnsi="Times New Roman" w:cs="Times New Roman"/>
          <w:color w:val="auto"/>
          <w:spacing w:val="-3"/>
          <w:highlight w:val="none"/>
        </w:rPr>
        <w:t>名。监测</w:t>
      </w:r>
      <w:r>
        <w:rPr>
          <w:rFonts w:hint="default" w:ascii="Times New Roman" w:hAnsi="Times New Roman" w:cs="Times New Roman"/>
          <w:color w:val="auto"/>
          <w:spacing w:val="-4"/>
          <w:highlight w:val="none"/>
        </w:rPr>
        <w:t>工作实行质量负责制，组长负责组织实施监测工作，制定监测管理制度，审核、统计、</w:t>
      </w:r>
      <w:r>
        <w:rPr>
          <w:rFonts w:hint="default" w:ascii="Times New Roman" w:hAnsi="Times New Roman" w:cs="Times New Roman"/>
          <w:color w:val="auto"/>
          <w:highlight w:val="none"/>
        </w:rPr>
        <w:t>分析、汇编监测成果，对监测总报告进行审核。</w:t>
      </w:r>
    </w:p>
    <w:p>
      <w:pPr>
        <w:pStyle w:val="8"/>
        <w:keepNext w:val="0"/>
        <w:keepLines w:val="0"/>
        <w:pageBreakBefore w:val="0"/>
        <w:widowControl w:val="0"/>
        <w:numPr>
          <w:ilvl w:val="0"/>
          <w:numId w:val="12"/>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人员配备及分工</w:t>
      </w:r>
    </w:p>
    <w:p>
      <w:pPr>
        <w:pStyle w:val="8"/>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本工程水土保持监测的项目负责人为刘漠，技术负责人为刘毅。监测技术人员为： </w:t>
      </w:r>
      <w:r>
        <w:rPr>
          <w:rFonts w:hint="eastAsia" w:ascii="Times New Roman" w:hAnsi="Times New Roman" w:cs="Times New Roman"/>
          <w:color w:val="auto"/>
          <w:highlight w:val="none"/>
          <w:lang w:val="en-US" w:eastAsia="zh-CN"/>
        </w:rPr>
        <w:t>黄强</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刘宏志</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蒋茂</w:t>
      </w:r>
      <w:r>
        <w:rPr>
          <w:rFonts w:hint="default" w:ascii="Times New Roman" w:hAnsi="Times New Roman" w:cs="Times New Roman"/>
          <w:color w:val="auto"/>
          <w:highlight w:val="none"/>
        </w:rPr>
        <w:t>、</w:t>
      </w:r>
      <w:r>
        <w:rPr>
          <w:rFonts w:hint="eastAsia" w:ascii="Times New Roman" w:hAnsi="Times New Roman" w:cs="Times New Roman"/>
          <w:color w:val="auto"/>
          <w:highlight w:val="none"/>
          <w:lang w:val="en-US" w:eastAsia="zh-CN"/>
        </w:rPr>
        <w:t>尹靖雯</w:t>
      </w:r>
      <w:r>
        <w:rPr>
          <w:rFonts w:hint="default" w:ascii="Times New Roman" w:hAnsi="Times New Roman" w:cs="Times New Roman"/>
          <w:color w:val="auto"/>
          <w:highlight w:val="none"/>
        </w:rPr>
        <w:t>等共</w:t>
      </w:r>
      <w:r>
        <w:rPr>
          <w:rFonts w:hint="eastAsia" w:ascii="Times New Roman" w:hAnsi="Times New Roman" w:cs="Times New Roman"/>
          <w:color w:val="auto"/>
          <w:highlight w:val="none"/>
          <w:lang w:val="en-US" w:eastAsia="zh-CN"/>
        </w:rPr>
        <w:t>4</w:t>
      </w:r>
      <w:r>
        <w:rPr>
          <w:rFonts w:hint="default" w:ascii="Times New Roman" w:hAnsi="Times New Roman" w:cs="Times New Roman"/>
          <w:color w:val="auto"/>
          <w:highlight w:val="none"/>
        </w:rPr>
        <w:t>人。</w:t>
      </w:r>
    </w:p>
    <w:p>
      <w:pPr>
        <w:pStyle w:val="8"/>
        <w:keepNext w:val="0"/>
        <w:keepLines w:val="0"/>
        <w:pageBreakBefore w:val="0"/>
        <w:widowControl w:val="0"/>
        <w:kinsoku/>
        <w:wordWrap/>
        <w:overflowPunct/>
        <w:topLinePunct w:val="0"/>
        <w:autoSpaceDE/>
        <w:autoSpaceDN/>
        <w:bidi w:val="0"/>
        <w:adjustRightInd/>
        <w:snapToGrid/>
        <w:spacing w:line="360" w:lineRule="auto"/>
        <w:ind w:right="0" w:firstLine="2640" w:firstLineChars="11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本项目投入监测人员汇总表</w:t>
      </w: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055"/>
        <w:gridCol w:w="1560"/>
        <w:gridCol w:w="1646"/>
        <w:gridCol w:w="2348"/>
        <w:gridCol w:w="235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jc w:val="center"/>
        </w:trPr>
        <w:tc>
          <w:tcPr>
            <w:tcW w:w="1055" w:type="dxa"/>
          </w:tcPr>
          <w:p>
            <w:pPr>
              <w:pStyle w:val="24"/>
              <w:spacing w:before="139"/>
              <w:ind w:left="99" w:right="91"/>
              <w:rPr>
                <w:rFonts w:hint="eastAsia" w:ascii="Times New Roman" w:hAnsi="Times New Roman" w:eastAsia="仿宋" w:cs="Times New Roman"/>
                <w:color w:val="auto"/>
                <w:sz w:val="21"/>
                <w:highlight w:val="none"/>
                <w:lang w:eastAsia="zh-CN"/>
              </w:rPr>
            </w:pPr>
            <w:r>
              <w:rPr>
                <w:rFonts w:hint="eastAsia" w:ascii="Times New Roman" w:hAnsi="Times New Roman" w:cs="Times New Roman"/>
                <w:color w:val="auto"/>
                <w:sz w:val="21"/>
                <w:highlight w:val="none"/>
                <w:lang w:val="en-US" w:eastAsia="zh-CN"/>
              </w:rPr>
              <w:t>分组</w:t>
            </w:r>
          </w:p>
        </w:tc>
        <w:tc>
          <w:tcPr>
            <w:tcW w:w="1560" w:type="dxa"/>
          </w:tcPr>
          <w:p>
            <w:pPr>
              <w:pStyle w:val="24"/>
              <w:spacing w:before="139"/>
              <w:ind w:left="456" w:right="448"/>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姓名</w:t>
            </w:r>
          </w:p>
        </w:tc>
        <w:tc>
          <w:tcPr>
            <w:tcW w:w="1646" w:type="dxa"/>
          </w:tcPr>
          <w:p>
            <w:pPr>
              <w:pStyle w:val="24"/>
              <w:spacing w:before="139"/>
              <w:ind w:left="224" w:right="237"/>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技术职称</w:t>
            </w:r>
          </w:p>
        </w:tc>
        <w:tc>
          <w:tcPr>
            <w:tcW w:w="2348" w:type="dxa"/>
          </w:tcPr>
          <w:p>
            <w:pPr>
              <w:pStyle w:val="24"/>
              <w:spacing w:before="139"/>
              <w:ind w:left="421" w:right="414"/>
              <w:rPr>
                <w:rFonts w:hint="default" w:ascii="Times New Roman" w:hAnsi="Times New Roman" w:eastAsia="仿宋"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监测工作分工</w:t>
            </w:r>
          </w:p>
        </w:tc>
        <w:tc>
          <w:tcPr>
            <w:tcW w:w="2353" w:type="dxa"/>
          </w:tcPr>
          <w:p>
            <w:pPr>
              <w:pStyle w:val="24"/>
              <w:spacing w:before="139"/>
              <w:ind w:left="448" w:right="439"/>
              <w:rPr>
                <w:rFonts w:hint="eastAsia"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rPr>
              <w:t>职</w:t>
            </w:r>
            <w:r>
              <w:rPr>
                <w:rFonts w:hint="eastAsia" w:ascii="Times New Roman" w:hAnsi="Times New Roman" w:cs="Times New Roman"/>
                <w:color w:val="auto"/>
                <w:sz w:val="21"/>
                <w:highlight w:val="none"/>
                <w:lang w:val="en-US" w:eastAsia="zh-CN"/>
              </w:rPr>
              <w:t>责</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jc w:val="center"/>
        </w:trPr>
        <w:tc>
          <w:tcPr>
            <w:tcW w:w="1055" w:type="dxa"/>
            <w:vMerge w:val="restart"/>
            <w:vAlign w:val="center"/>
          </w:tcPr>
          <w:p>
            <w:pPr>
              <w:pStyle w:val="24"/>
              <w:spacing w:before="153"/>
              <w:ind w:left="8"/>
              <w:jc w:val="center"/>
              <w:rPr>
                <w:rFonts w:hint="eastAsia" w:ascii="Times New Roman" w:hAnsi="Times New Roman" w:eastAsia="仿宋"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技术组</w:t>
            </w:r>
          </w:p>
        </w:tc>
        <w:tc>
          <w:tcPr>
            <w:tcW w:w="1560" w:type="dxa"/>
          </w:tcPr>
          <w:p>
            <w:pPr>
              <w:pStyle w:val="24"/>
              <w:spacing w:before="139"/>
              <w:ind w:left="456" w:right="448"/>
              <w:rPr>
                <w:rFonts w:hint="eastAsia" w:ascii="Times New Roman" w:hAnsi="Times New Roman" w:eastAsia="仿宋" w:cs="Times New Roman"/>
                <w:color w:val="auto"/>
                <w:sz w:val="21"/>
                <w:highlight w:val="none"/>
                <w:lang w:eastAsia="zh-CN"/>
              </w:rPr>
            </w:pPr>
            <w:r>
              <w:rPr>
                <w:rFonts w:hint="eastAsia" w:ascii="Times New Roman" w:hAnsi="Times New Roman" w:cs="Times New Roman"/>
                <w:color w:val="auto"/>
                <w:sz w:val="21"/>
                <w:highlight w:val="none"/>
                <w:lang w:val="en-US" w:eastAsia="zh-CN"/>
              </w:rPr>
              <w:t>黄强</w:t>
            </w:r>
          </w:p>
        </w:tc>
        <w:tc>
          <w:tcPr>
            <w:tcW w:w="1646" w:type="dxa"/>
          </w:tcPr>
          <w:p>
            <w:pPr>
              <w:pStyle w:val="24"/>
              <w:spacing w:before="139"/>
              <w:ind w:left="246" w:right="236"/>
              <w:rPr>
                <w:rFonts w:hint="eastAsia" w:ascii="Times New Roman" w:hAnsi="Times New Roman" w:eastAsia="仿宋"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监测工程师</w:t>
            </w:r>
          </w:p>
        </w:tc>
        <w:tc>
          <w:tcPr>
            <w:tcW w:w="2348" w:type="dxa"/>
          </w:tcPr>
          <w:p>
            <w:pPr>
              <w:pStyle w:val="24"/>
              <w:spacing w:before="139"/>
              <w:ind w:left="421" w:right="414"/>
              <w:rPr>
                <w:rFonts w:hint="default" w:ascii="Times New Roman" w:hAnsi="Times New Roman" w:eastAsia="仿宋"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监测，报告编写</w:t>
            </w:r>
          </w:p>
        </w:tc>
        <w:tc>
          <w:tcPr>
            <w:tcW w:w="2353" w:type="dxa"/>
          </w:tcPr>
          <w:p>
            <w:pPr>
              <w:pStyle w:val="24"/>
              <w:spacing w:before="139"/>
              <w:ind w:left="448" w:right="439"/>
              <w:rPr>
                <w:rFonts w:hint="default" w:ascii="Times New Roman" w:hAnsi="Times New Roman" w:eastAsia="仿宋"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监测，数据统计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 w:hRule="atLeast"/>
          <w:jc w:val="center"/>
        </w:trPr>
        <w:tc>
          <w:tcPr>
            <w:tcW w:w="1055" w:type="dxa"/>
            <w:vMerge w:val="continue"/>
          </w:tcPr>
          <w:p>
            <w:pPr>
              <w:pStyle w:val="24"/>
              <w:spacing w:before="153"/>
              <w:ind w:left="8"/>
              <w:rPr>
                <w:rFonts w:hint="default" w:ascii="Times New Roman" w:hAnsi="Times New Roman" w:cs="Times New Roman"/>
                <w:color w:val="auto"/>
                <w:sz w:val="21"/>
                <w:highlight w:val="none"/>
              </w:rPr>
            </w:pPr>
          </w:p>
        </w:tc>
        <w:tc>
          <w:tcPr>
            <w:tcW w:w="1560" w:type="dxa"/>
          </w:tcPr>
          <w:p>
            <w:pPr>
              <w:pStyle w:val="24"/>
              <w:spacing w:before="139"/>
              <w:ind w:left="456" w:right="448"/>
              <w:rPr>
                <w:rFonts w:hint="eastAsia" w:ascii="Times New Roman" w:hAnsi="Times New Roman" w:eastAsia="仿宋"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刘宏志</w:t>
            </w:r>
          </w:p>
        </w:tc>
        <w:tc>
          <w:tcPr>
            <w:tcW w:w="1646" w:type="dxa"/>
          </w:tcPr>
          <w:p>
            <w:pPr>
              <w:pStyle w:val="24"/>
              <w:spacing w:before="139"/>
              <w:ind w:left="246" w:right="237"/>
              <w:rPr>
                <w:rFonts w:hint="default" w:ascii="Times New Roman" w:hAnsi="Times New Roman" w:cs="Times New Roman"/>
                <w:color w:val="auto"/>
                <w:sz w:val="21"/>
                <w:highlight w:val="none"/>
              </w:rPr>
            </w:pPr>
            <w:r>
              <w:rPr>
                <w:rFonts w:hint="eastAsia" w:ascii="Times New Roman" w:hAnsi="Times New Roman" w:cs="Times New Roman"/>
                <w:color w:val="auto"/>
                <w:sz w:val="21"/>
                <w:highlight w:val="none"/>
                <w:lang w:val="en-US" w:eastAsia="zh-CN"/>
              </w:rPr>
              <w:t>监测</w:t>
            </w:r>
            <w:r>
              <w:rPr>
                <w:rFonts w:hint="default" w:ascii="Times New Roman" w:hAnsi="Times New Roman" w:cs="Times New Roman"/>
                <w:color w:val="auto"/>
                <w:sz w:val="21"/>
                <w:highlight w:val="none"/>
              </w:rPr>
              <w:t>工程师</w:t>
            </w:r>
          </w:p>
        </w:tc>
        <w:tc>
          <w:tcPr>
            <w:tcW w:w="2348" w:type="dxa"/>
          </w:tcPr>
          <w:p>
            <w:pPr>
              <w:pStyle w:val="24"/>
              <w:spacing w:before="139"/>
              <w:ind w:left="421" w:right="414"/>
              <w:rPr>
                <w:rFonts w:hint="default" w:ascii="Times New Roman" w:hAnsi="Times New Roman" w:eastAsia="仿宋"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监测，数据统计</w:t>
            </w:r>
          </w:p>
        </w:tc>
        <w:tc>
          <w:tcPr>
            <w:tcW w:w="2353" w:type="dxa"/>
          </w:tcPr>
          <w:p>
            <w:pPr>
              <w:pStyle w:val="24"/>
              <w:spacing w:before="139"/>
              <w:ind w:left="448" w:right="438"/>
              <w:rPr>
                <w:rFonts w:hint="default" w:ascii="Times New Roman" w:hAnsi="Times New Roman" w:cs="Times New Roman"/>
                <w:color w:val="auto"/>
                <w:sz w:val="21"/>
                <w:highlight w:val="none"/>
              </w:rPr>
            </w:pPr>
            <w:r>
              <w:rPr>
                <w:rFonts w:hint="eastAsia" w:ascii="Times New Roman" w:hAnsi="Times New Roman" w:cs="Times New Roman"/>
                <w:color w:val="auto"/>
                <w:sz w:val="21"/>
                <w:highlight w:val="none"/>
                <w:lang w:val="en-US" w:eastAsia="zh-CN"/>
              </w:rPr>
              <w:t>监测，数据统计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jc w:val="center"/>
        </w:trPr>
        <w:tc>
          <w:tcPr>
            <w:tcW w:w="1055" w:type="dxa"/>
            <w:vMerge w:val="continue"/>
          </w:tcPr>
          <w:p>
            <w:pPr>
              <w:pStyle w:val="24"/>
              <w:spacing w:before="153"/>
              <w:ind w:left="8"/>
              <w:rPr>
                <w:rFonts w:hint="default" w:ascii="Times New Roman" w:hAnsi="Times New Roman" w:cs="Times New Roman"/>
                <w:color w:val="auto"/>
                <w:sz w:val="21"/>
                <w:highlight w:val="none"/>
              </w:rPr>
            </w:pPr>
          </w:p>
        </w:tc>
        <w:tc>
          <w:tcPr>
            <w:tcW w:w="1560" w:type="dxa"/>
          </w:tcPr>
          <w:p>
            <w:pPr>
              <w:pStyle w:val="24"/>
              <w:spacing w:before="139"/>
              <w:ind w:left="457" w:right="448"/>
              <w:rPr>
                <w:rFonts w:hint="default" w:ascii="Times New Roman" w:hAnsi="Times New Roman" w:eastAsia="仿宋"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尹靖雯</w:t>
            </w:r>
          </w:p>
        </w:tc>
        <w:tc>
          <w:tcPr>
            <w:tcW w:w="1646" w:type="dxa"/>
          </w:tcPr>
          <w:p>
            <w:pPr>
              <w:pStyle w:val="24"/>
              <w:spacing w:before="139"/>
              <w:ind w:left="246" w:right="237"/>
              <w:rPr>
                <w:rFonts w:hint="default" w:ascii="Times New Roman" w:hAnsi="Times New Roman" w:eastAsia="仿宋"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监测员</w:t>
            </w:r>
          </w:p>
        </w:tc>
        <w:tc>
          <w:tcPr>
            <w:tcW w:w="2348" w:type="dxa"/>
          </w:tcPr>
          <w:p>
            <w:pPr>
              <w:pStyle w:val="24"/>
              <w:spacing w:before="139"/>
              <w:ind w:left="421" w:right="414"/>
              <w:rPr>
                <w:rFonts w:hint="default" w:ascii="Times New Roman" w:hAnsi="Times New Roman" w:cs="Times New Roman"/>
                <w:color w:val="auto"/>
                <w:sz w:val="21"/>
                <w:highlight w:val="none"/>
              </w:rPr>
            </w:pPr>
            <w:r>
              <w:rPr>
                <w:rFonts w:hint="eastAsia" w:ascii="Times New Roman" w:hAnsi="Times New Roman" w:cs="Times New Roman"/>
                <w:color w:val="auto"/>
                <w:sz w:val="21"/>
                <w:highlight w:val="none"/>
                <w:lang w:val="en-US" w:eastAsia="zh-CN"/>
              </w:rPr>
              <w:t>监测，数据统计</w:t>
            </w:r>
          </w:p>
        </w:tc>
        <w:tc>
          <w:tcPr>
            <w:tcW w:w="2353" w:type="dxa"/>
          </w:tcPr>
          <w:p>
            <w:pPr>
              <w:pStyle w:val="24"/>
              <w:spacing w:before="139"/>
              <w:ind w:left="448" w:right="439"/>
              <w:rPr>
                <w:rFonts w:hint="default" w:ascii="Times New Roman" w:hAnsi="Times New Roman" w:cs="Times New Roman"/>
                <w:color w:val="auto"/>
                <w:sz w:val="21"/>
                <w:highlight w:val="none"/>
              </w:rPr>
            </w:pPr>
            <w:r>
              <w:rPr>
                <w:rFonts w:hint="eastAsia" w:ascii="Times New Roman" w:hAnsi="Times New Roman" w:cs="Times New Roman"/>
                <w:color w:val="auto"/>
                <w:sz w:val="21"/>
                <w:highlight w:val="none"/>
                <w:lang w:val="en-US" w:eastAsia="zh-CN"/>
              </w:rPr>
              <w:t>监测，数据统计</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2" w:hRule="atLeast"/>
          <w:jc w:val="center"/>
        </w:trPr>
        <w:tc>
          <w:tcPr>
            <w:tcW w:w="1055" w:type="dxa"/>
            <w:vMerge w:val="continue"/>
          </w:tcPr>
          <w:p>
            <w:pPr>
              <w:pStyle w:val="24"/>
              <w:spacing w:before="153"/>
              <w:ind w:left="8"/>
              <w:rPr>
                <w:rFonts w:hint="default" w:ascii="Times New Roman" w:hAnsi="Times New Roman" w:cs="Times New Roman"/>
                <w:color w:val="auto"/>
                <w:sz w:val="21"/>
                <w:highlight w:val="none"/>
              </w:rPr>
            </w:pPr>
          </w:p>
        </w:tc>
        <w:tc>
          <w:tcPr>
            <w:tcW w:w="1560" w:type="dxa"/>
          </w:tcPr>
          <w:p>
            <w:pPr>
              <w:pStyle w:val="24"/>
              <w:spacing w:before="139"/>
              <w:ind w:left="456" w:right="448"/>
              <w:rPr>
                <w:rFonts w:hint="eastAsia" w:ascii="Times New Roman" w:hAnsi="Times New Roman" w:eastAsia="仿宋"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蒋茂</w:t>
            </w:r>
          </w:p>
        </w:tc>
        <w:tc>
          <w:tcPr>
            <w:tcW w:w="1646" w:type="dxa"/>
          </w:tcPr>
          <w:p>
            <w:pPr>
              <w:pStyle w:val="24"/>
              <w:spacing w:before="139"/>
              <w:ind w:left="246" w:right="237"/>
              <w:rPr>
                <w:rFonts w:hint="eastAsia" w:ascii="Times New Roman" w:hAnsi="Times New Roman" w:eastAsia="仿宋" w:cs="Times New Roman"/>
                <w:color w:val="auto"/>
                <w:sz w:val="21"/>
                <w:highlight w:val="none"/>
                <w:lang w:val="en-US" w:eastAsia="zh-CN"/>
              </w:rPr>
            </w:pPr>
            <w:r>
              <w:rPr>
                <w:rFonts w:hint="eastAsia" w:ascii="Times New Roman" w:hAnsi="Times New Roman" w:cs="Times New Roman"/>
                <w:color w:val="auto"/>
                <w:sz w:val="21"/>
                <w:highlight w:val="none"/>
                <w:lang w:val="en-US" w:eastAsia="zh-CN"/>
              </w:rPr>
              <w:t>监测员</w:t>
            </w:r>
          </w:p>
        </w:tc>
        <w:tc>
          <w:tcPr>
            <w:tcW w:w="2348" w:type="dxa"/>
          </w:tcPr>
          <w:p>
            <w:pPr>
              <w:pStyle w:val="24"/>
              <w:spacing w:before="139"/>
              <w:ind w:left="421" w:right="414"/>
              <w:rPr>
                <w:rFonts w:hint="default" w:ascii="Times New Roman" w:hAnsi="Times New Roman" w:cs="Times New Roman"/>
                <w:color w:val="auto"/>
                <w:sz w:val="21"/>
                <w:highlight w:val="none"/>
                <w:lang w:val="en-US"/>
              </w:rPr>
            </w:pPr>
            <w:r>
              <w:rPr>
                <w:rFonts w:hint="eastAsia" w:ascii="Times New Roman" w:hAnsi="Times New Roman" w:cs="Times New Roman"/>
                <w:color w:val="auto"/>
                <w:sz w:val="21"/>
                <w:highlight w:val="none"/>
                <w:lang w:val="en-US" w:eastAsia="zh-CN"/>
              </w:rPr>
              <w:t>监测，数据校核</w:t>
            </w:r>
          </w:p>
        </w:tc>
        <w:tc>
          <w:tcPr>
            <w:tcW w:w="2353" w:type="dxa"/>
          </w:tcPr>
          <w:p>
            <w:pPr>
              <w:pStyle w:val="24"/>
              <w:spacing w:before="139"/>
              <w:ind w:left="448" w:right="439"/>
              <w:rPr>
                <w:rFonts w:hint="default" w:ascii="Times New Roman" w:hAnsi="Times New Roman" w:cs="Times New Roman"/>
                <w:color w:val="auto"/>
                <w:sz w:val="21"/>
                <w:highlight w:val="none"/>
                <w:lang w:val="en-US"/>
              </w:rPr>
            </w:pPr>
            <w:r>
              <w:rPr>
                <w:rFonts w:hint="eastAsia" w:ascii="Times New Roman" w:hAnsi="Times New Roman" w:cs="Times New Roman"/>
                <w:color w:val="auto"/>
                <w:sz w:val="21"/>
                <w:highlight w:val="none"/>
                <w:lang w:val="en-US" w:eastAsia="zh-CN"/>
              </w:rPr>
              <w:t>监测，数据校核</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1.3.3 监测点布设</w:t>
      </w:r>
    </w:p>
    <w:p>
      <w:pPr>
        <w:pStyle w:val="8"/>
        <w:keepNext w:val="0"/>
        <w:keepLines w:val="0"/>
        <w:pageBreakBefore w:val="0"/>
        <w:widowControl w:val="0"/>
        <w:kinsoku/>
        <w:wordWrap/>
        <w:overflowPunct/>
        <w:topLinePunct w:val="0"/>
        <w:autoSpaceDE/>
        <w:autoSpaceDN/>
        <w:bidi w:val="0"/>
        <w:adjustRightInd/>
        <w:snapToGrid/>
        <w:spacing w:before="187" w:line="360" w:lineRule="auto"/>
        <w:ind w:right="0" w:firstLine="480"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水土保持监测站点的布设根据工程建设项目的特点、扰动地表面积和特征、涉及的水土流失不同类型、扰动开挖和堆积形态、水土保持设施及其布局，以及交通、通信等条件综合确定。本项目水土流失监测点位布设详见表 </w:t>
      </w:r>
      <w:r>
        <w:rPr>
          <w:rFonts w:hint="default" w:ascii="Times New Roman" w:hAnsi="Times New Roman" w:eastAsia="Times New Roman" w:cs="Times New Roman"/>
          <w:color w:val="auto"/>
          <w:highlight w:val="none"/>
        </w:rPr>
        <w:t>1.3.3-1</w:t>
      </w:r>
      <w:r>
        <w:rPr>
          <w:rFonts w:hint="default" w:ascii="Times New Roman" w:hAnsi="Times New Roman" w:cs="Times New Roman"/>
          <w:color w:val="auto"/>
          <w:highlight w:val="none"/>
        </w:rPr>
        <w:t>。</w:t>
      </w:r>
    </w:p>
    <w:p>
      <w:pPr>
        <w:pStyle w:val="5"/>
        <w:keepNext w:val="0"/>
        <w:keepLines w:val="0"/>
        <w:pageBreakBefore w:val="0"/>
        <w:widowControl w:val="0"/>
        <w:kinsoku/>
        <w:wordWrap/>
        <w:overflowPunct/>
        <w:topLinePunct w:val="0"/>
        <w:autoSpaceDE/>
        <w:autoSpaceDN/>
        <w:bidi w:val="0"/>
        <w:adjustRightInd/>
        <w:snapToGrid/>
        <w:spacing w:before="74" w:after="2" w:line="360" w:lineRule="auto"/>
        <w:ind w:left="0" w:right="113"/>
        <w:jc w:val="center"/>
        <w:textAlignment w:val="auto"/>
        <w:rPr>
          <w:rFonts w:hint="default" w:ascii="Times New Roman" w:hAnsi="Times New Roman" w:cs="Times New Roman"/>
          <w:b w:val="0"/>
          <w:bCs w:val="0"/>
          <w:color w:val="auto"/>
          <w:highlight w:val="none"/>
        </w:rPr>
      </w:pPr>
      <w:r>
        <w:rPr>
          <w:rFonts w:hint="default" w:ascii="Times New Roman" w:hAnsi="Times New Roman" w:cs="Times New Roman"/>
          <w:b w:val="0"/>
          <w:bCs w:val="0"/>
          <w:color w:val="auto"/>
          <w:spacing w:val="-30"/>
          <w:highlight w:val="none"/>
        </w:rPr>
        <w:t xml:space="preserve">表 </w:t>
      </w:r>
      <w:r>
        <w:rPr>
          <w:rFonts w:hint="default" w:ascii="Times New Roman" w:hAnsi="Times New Roman" w:eastAsia="Times New Roman" w:cs="Times New Roman"/>
          <w:b w:val="0"/>
          <w:bCs w:val="0"/>
          <w:color w:val="auto"/>
          <w:highlight w:val="none"/>
        </w:rPr>
        <w:t>1.3.3</w:t>
      </w:r>
      <w:r>
        <w:rPr>
          <w:rFonts w:hint="default" w:ascii="Times New Roman" w:hAnsi="Times New Roman" w:eastAsia="Times New Roman" w:cs="Times New Roman"/>
          <w:b w:val="0"/>
          <w:bCs w:val="0"/>
          <w:color w:val="auto"/>
          <w:spacing w:val="60"/>
          <w:highlight w:val="none"/>
        </w:rPr>
        <w:t xml:space="preserve"> </w:t>
      </w:r>
      <w:r>
        <w:rPr>
          <w:rFonts w:hint="default" w:ascii="Times New Roman" w:hAnsi="Times New Roman" w:cs="Times New Roman"/>
          <w:b w:val="0"/>
          <w:bCs w:val="0"/>
          <w:color w:val="auto"/>
          <w:highlight w:val="none"/>
        </w:rPr>
        <w:t>水土流失监测点位置布设一览表</w:t>
      </w: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686"/>
        <w:gridCol w:w="3420"/>
        <w:gridCol w:w="2075"/>
        <w:gridCol w:w="2033"/>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1686" w:type="dxa"/>
          </w:tcPr>
          <w:p>
            <w:pPr>
              <w:pStyle w:val="24"/>
              <w:spacing w:before="119" w:line="252" w:lineRule="exact"/>
              <w:ind w:left="297" w:right="288"/>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监测点序号</w:t>
            </w:r>
          </w:p>
        </w:tc>
        <w:tc>
          <w:tcPr>
            <w:tcW w:w="3420" w:type="dxa"/>
          </w:tcPr>
          <w:p>
            <w:pPr>
              <w:pStyle w:val="24"/>
              <w:spacing w:before="119" w:line="252" w:lineRule="exact"/>
              <w:ind w:left="849" w:right="840"/>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各分区监测点位置</w:t>
            </w:r>
          </w:p>
        </w:tc>
        <w:tc>
          <w:tcPr>
            <w:tcW w:w="2075" w:type="dxa"/>
          </w:tcPr>
          <w:p>
            <w:pPr>
              <w:pStyle w:val="24"/>
              <w:spacing w:before="119" w:line="252" w:lineRule="exact"/>
              <w:ind w:left="281" w:right="273"/>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监测方法</w:t>
            </w:r>
          </w:p>
        </w:tc>
        <w:tc>
          <w:tcPr>
            <w:tcW w:w="2033" w:type="dxa"/>
          </w:tcPr>
          <w:p>
            <w:pPr>
              <w:pStyle w:val="24"/>
              <w:spacing w:before="119" w:line="252" w:lineRule="exact"/>
              <w:ind w:left="470" w:right="463"/>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监测点个数</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jc w:val="center"/>
        </w:trPr>
        <w:tc>
          <w:tcPr>
            <w:tcW w:w="1686" w:type="dxa"/>
          </w:tcPr>
          <w:p>
            <w:pPr>
              <w:pStyle w:val="24"/>
              <w:spacing w:before="121" w:line="252" w:lineRule="exact"/>
              <w:ind w:left="297" w:right="288"/>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w:t>
            </w:r>
          </w:p>
        </w:tc>
        <w:tc>
          <w:tcPr>
            <w:tcW w:w="3420" w:type="dxa"/>
          </w:tcPr>
          <w:p>
            <w:pPr>
              <w:pStyle w:val="24"/>
              <w:spacing w:before="121" w:line="252" w:lineRule="exact"/>
              <w:ind w:left="848" w:right="840"/>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高挖、深填边坡</w:t>
            </w:r>
          </w:p>
        </w:tc>
        <w:tc>
          <w:tcPr>
            <w:tcW w:w="2075" w:type="dxa"/>
          </w:tcPr>
          <w:p>
            <w:pPr>
              <w:pStyle w:val="24"/>
              <w:spacing w:before="121" w:line="252" w:lineRule="exact"/>
              <w:ind w:left="282" w:right="273"/>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简易坡面量测法</w:t>
            </w:r>
          </w:p>
        </w:tc>
        <w:tc>
          <w:tcPr>
            <w:tcW w:w="2033" w:type="dxa"/>
          </w:tcPr>
          <w:p>
            <w:pPr>
              <w:pStyle w:val="24"/>
              <w:spacing w:before="121" w:line="252" w:lineRule="exact"/>
              <w:ind w:left="469" w:right="463"/>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 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1686" w:type="dxa"/>
          </w:tcPr>
          <w:p>
            <w:pPr>
              <w:pStyle w:val="24"/>
              <w:spacing w:before="119" w:line="252" w:lineRule="exact"/>
              <w:ind w:left="297" w:right="288"/>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2#</w:t>
            </w:r>
          </w:p>
        </w:tc>
        <w:tc>
          <w:tcPr>
            <w:tcW w:w="3420" w:type="dxa"/>
          </w:tcPr>
          <w:p>
            <w:pPr>
              <w:pStyle w:val="24"/>
              <w:spacing w:before="119" w:line="252" w:lineRule="exact"/>
              <w:ind w:left="848" w:right="840"/>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临时堆土区周边</w:t>
            </w:r>
          </w:p>
        </w:tc>
        <w:tc>
          <w:tcPr>
            <w:tcW w:w="2075" w:type="dxa"/>
          </w:tcPr>
          <w:p>
            <w:pPr>
              <w:pStyle w:val="24"/>
              <w:spacing w:before="119" w:line="252" w:lineRule="exact"/>
              <w:ind w:left="282" w:right="273"/>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简易坡面量测法</w:t>
            </w:r>
          </w:p>
        </w:tc>
        <w:tc>
          <w:tcPr>
            <w:tcW w:w="2033" w:type="dxa"/>
          </w:tcPr>
          <w:p>
            <w:pPr>
              <w:pStyle w:val="24"/>
              <w:spacing w:before="119" w:line="252" w:lineRule="exact"/>
              <w:ind w:left="469" w:right="463"/>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 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1" w:hRule="atLeast"/>
          <w:jc w:val="center"/>
        </w:trPr>
        <w:tc>
          <w:tcPr>
            <w:tcW w:w="1686" w:type="dxa"/>
          </w:tcPr>
          <w:p>
            <w:pPr>
              <w:pStyle w:val="24"/>
              <w:spacing w:before="119" w:line="252" w:lineRule="exact"/>
              <w:ind w:left="297" w:right="288"/>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3#</w:t>
            </w:r>
          </w:p>
        </w:tc>
        <w:tc>
          <w:tcPr>
            <w:tcW w:w="3420" w:type="dxa"/>
          </w:tcPr>
          <w:p>
            <w:pPr>
              <w:pStyle w:val="24"/>
              <w:spacing w:before="119" w:line="252" w:lineRule="exact"/>
              <w:ind w:left="848" w:right="840"/>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进场道路区周边</w:t>
            </w:r>
          </w:p>
        </w:tc>
        <w:tc>
          <w:tcPr>
            <w:tcW w:w="2075" w:type="dxa"/>
          </w:tcPr>
          <w:p>
            <w:pPr>
              <w:pStyle w:val="24"/>
              <w:spacing w:before="119" w:line="252" w:lineRule="exact"/>
              <w:ind w:left="282" w:right="273"/>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沉沙池</w:t>
            </w:r>
          </w:p>
        </w:tc>
        <w:tc>
          <w:tcPr>
            <w:tcW w:w="2033" w:type="dxa"/>
          </w:tcPr>
          <w:p>
            <w:pPr>
              <w:pStyle w:val="24"/>
              <w:spacing w:before="119" w:line="252" w:lineRule="exact"/>
              <w:ind w:left="469" w:right="463"/>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 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93" w:hRule="atLeast"/>
          <w:jc w:val="center"/>
        </w:trPr>
        <w:tc>
          <w:tcPr>
            <w:tcW w:w="1686" w:type="dxa"/>
          </w:tcPr>
          <w:p>
            <w:pPr>
              <w:pStyle w:val="24"/>
              <w:spacing w:before="121" w:line="252" w:lineRule="exact"/>
              <w:ind w:left="297" w:right="288"/>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4#</w:t>
            </w:r>
          </w:p>
        </w:tc>
        <w:tc>
          <w:tcPr>
            <w:tcW w:w="3420" w:type="dxa"/>
          </w:tcPr>
          <w:p>
            <w:pPr>
              <w:pStyle w:val="24"/>
              <w:spacing w:before="121" w:line="252" w:lineRule="exact"/>
              <w:ind w:left="848" w:right="840"/>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施工临建区周边</w:t>
            </w:r>
          </w:p>
        </w:tc>
        <w:tc>
          <w:tcPr>
            <w:tcW w:w="2075" w:type="dxa"/>
          </w:tcPr>
          <w:p>
            <w:pPr>
              <w:pStyle w:val="24"/>
              <w:spacing w:before="121" w:line="252" w:lineRule="exact"/>
              <w:ind w:left="282" w:right="273"/>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沉沙法</w:t>
            </w:r>
          </w:p>
        </w:tc>
        <w:tc>
          <w:tcPr>
            <w:tcW w:w="2033" w:type="dxa"/>
          </w:tcPr>
          <w:p>
            <w:pPr>
              <w:pStyle w:val="24"/>
              <w:spacing w:before="121" w:line="252" w:lineRule="exact"/>
              <w:ind w:left="469" w:right="463"/>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 个</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1.3.4 监测设施设备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水土保持监测设备主要对水土保持防治措施数量、质量及其防治效果等监测时用到的设备。水土保持监测设施和设备见表</w:t>
      </w:r>
    </w:p>
    <w:tbl>
      <w:tblPr>
        <w:tblStyle w:val="20"/>
        <w:tblW w:w="922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85"/>
        <w:gridCol w:w="1946"/>
        <w:gridCol w:w="1278"/>
        <w:gridCol w:w="681"/>
        <w:gridCol w:w="665"/>
        <w:gridCol w:w="356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序号</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设施和设备</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型号</w:t>
            </w: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数量</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一</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监测土建设施</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沉砂池法监测设施</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处</w:t>
            </w: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每组按2个沉砂池、150m截水沟计列，不包括可利用本方案已设沉砂池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简易坡面检测场</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处</w:t>
            </w: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观测桩</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处</w:t>
            </w: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二</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设施及设备费用</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自动安平水准仪</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DS/DSC30</w:t>
            </w: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套</w:t>
            </w: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测多标桩间距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泥沙浊度仪</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A9-QZ201C</w:t>
            </w: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套</w:t>
            </w: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泥沙快速测定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精密天平</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Satorious BL610</w:t>
            </w: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套</w:t>
            </w: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1/1000g</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烘箱</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9240A</w:t>
            </w: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带鼓风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手持式GPS</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GPSIV型</w:t>
            </w: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台</w:t>
            </w: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用于监测点、场地及现象点的定位和量测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数码照相机</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台</w:t>
            </w: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用于监测现象的图片记录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7</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计算机</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台</w:t>
            </w: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用于文字，图表处理和计算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三</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消耗性设施及其他</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用品柜</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试剂、物品、资料贮存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皮尺、卷尺、卡尺、罗盘等</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套</w:t>
            </w: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用于观测侵蚀量及沉降变化，植被生长情况及其他测量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易耗品</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样品分析用品、玻璃器皿、化学试剂、分析纯、打印纸等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08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w:t>
            </w:r>
          </w:p>
        </w:tc>
        <w:tc>
          <w:tcPr>
            <w:tcW w:w="19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辅材及配套设施</w:t>
            </w:r>
          </w:p>
        </w:tc>
        <w:tc>
          <w:tcPr>
            <w:tcW w:w="127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66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356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用于各种设备安装补助材料、小五金构建及易损配件补充</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1.3.5 检测技术方法</w:t>
      </w:r>
    </w:p>
    <w:p>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1、监测方法选择的原则</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1）采取地面定点监测、调查监测和巡视法相结合的方法；</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2）水土流失影响因子和水土流失量的监测应采用地面定点监测法；</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3）扰动面积，地表植被和水土保持设施运行情况等项目的监测应采取调查法；</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4）防治责任范围内，水土流失影响较小的施工单元，可进行调查监测；水土流失影响较大的施工单元，应进行地面定点监测；</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5）施工过程中时空变化多、定位监测困难的项目可采用巡视法监测。</w:t>
      </w:r>
    </w:p>
    <w:p>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2、气象水文监测</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rPr>
      </w:pPr>
      <w:bookmarkStart w:id="220" w:name="_Toc110149073"/>
      <w:r>
        <w:rPr>
          <w:rFonts w:hint="default" w:ascii="Times New Roman" w:hAnsi="Times New Roman" w:cs="Times New Roman"/>
          <w:color w:val="auto"/>
          <w:highlight w:val="none"/>
        </w:rPr>
        <w:t>1）降水量、降雨强度等监测，以收集工程区内或临近区域已知气象站的气象观测资料数据为主。</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2）径流量、泥沙量等，可收集临近区域观测资料数据，也可以利用沉沙池、标准取样器，取出浑水水样，经过滤烘干后，求得水量和泥量。</w:t>
      </w:r>
    </w:p>
    <w:p>
      <w:pPr>
        <w:pStyle w:val="22"/>
        <w:keepNext w:val="0"/>
        <w:keepLines w:val="0"/>
        <w:pageBreakBefore w:val="0"/>
        <w:widowControl w:val="0"/>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3）气温（采用专用温度计）、湿度（采用干湿球法）等，可参照当地气象监测资料。</w:t>
      </w:r>
    </w:p>
    <w:bookmarkEnd w:id="220"/>
    <w:p>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3、水土保持生态环境状况的监测</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bookmarkStart w:id="221" w:name="_Toc88243762"/>
      <w:bookmarkStart w:id="222" w:name="_Toc66975671"/>
      <w:r>
        <w:rPr>
          <w:rFonts w:hint="default" w:ascii="Times New Roman" w:hAnsi="Times New Roman" w:cs="Times New Roman"/>
          <w:color w:val="auto"/>
          <w:highlight w:val="none"/>
        </w:rPr>
        <w:t>项目建设区水土流失因子采用SL277—2002《水土保持监测技术规程》中7.4规定方法。</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1）地形、地貌、植被的扰动面积、扰动强度的变化</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采用实地勘测、地形测量等方法，结合GPS技术的应用，对地形、地貌、植被的扰动变化进行监测。</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2）复核建设项目占地面积、扰动地表面积</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采用查阅设计文件资料，利用高精度GPS技术，沿扰动边际进行跟踪作业，结合实地情况调查、地形测量分析，进行对比核实，计算场地占用土地面积、扰动地表面积。</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3）复核项目挖方、填方数量及面积，及堆放面积</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采用查阅设计文件资料，利用高精度GPS技术，沿扰动边际进行跟踪作业，结合实地情况调查、地形测量分析，进行对比核实，计算项目挖方、填方数量及面积和弃土、弃石、及堆放面积。人工开挖与填方边坡坡度采用地形测量法。</w:t>
      </w:r>
    </w:p>
    <w:bookmarkEnd w:id="221"/>
    <w:bookmarkEnd w:id="222"/>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bookmarkStart w:id="223" w:name="_Toc109467393"/>
      <w:r>
        <w:rPr>
          <w:rFonts w:hint="default" w:ascii="Times New Roman" w:hAnsi="Times New Roman" w:cs="Times New Roman"/>
          <w:color w:val="auto"/>
          <w:highlight w:val="none"/>
        </w:rPr>
        <w:t>4）项目区林草覆盖率</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采用抽样统计和调查、测量等方法，并结合GPS技术的应用进行监测，即选择有代表性的地块，分别确定调查地样方，并进行观测和计算。</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项目区林草覆盖率利用高精度GPS定位，采用抽样调查和测量等方法进行监测。即选择有代表性的地块，确定调查地样方，先现场量测、计算种盖度（或郁闭度），再计算出场地的林草覆盖率。</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纳入计算的林地或草地面积，其林地郁闭度或草地的盖度取大于20%。样方规格乔木林为10m×10m，灌木林为5m×5m，草地为2m×2m。监测采用的GPS定位和GIS技术，具有对监测对象的位置、边界准确定位的高精度特性，可在实地调查基础上，结合对地形图件和施工图件的综合分析，提取建设项目占地面积、地表位置及变化情况的数据信息准确可靠。</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本项调查数据用于扰动土地整治率、水土流失总治理度、植被恢复系数与林草覆盖率监测计算。</w:t>
      </w:r>
    </w:p>
    <w:p>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4</w:t>
      </w:r>
      <w:bookmarkEnd w:id="223"/>
      <w:r>
        <w:rPr>
          <w:rFonts w:hint="default" w:ascii="Times New Roman" w:hAnsi="Times New Roman" w:cs="Times New Roman"/>
          <w:color w:val="auto"/>
          <w:highlight w:val="none"/>
        </w:rPr>
        <w:t>、水土流失动态变化的监测</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水土流失状况的监测包括各监测区的水土流失面积、流失量、程度的变化情况（包括坡面水土流失、重力侵蚀等）及对周边和下游地区造成的危害及其趋势，应在水土保持方案中水土流失预测的基础上进行。通过对报告书预测的重点流失区的典型调查和抽样调查，获得现状监测资料，并进行各次监测成果的对比分析，以及与原预测成果的对比。项目建设区水土流失量采用《水土保持监测技术规程》（SL277—2002）中7.3.3和7.3.4规定的方法。</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1）水蚀量监测</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项目建设区扰动地表、临时堆土等施工活动引起的水土流失数量，以及变化情况，可通过典型调查、各种地面定点监测方法进行监测。</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本工程挖填坡面水蚀量和临时堆土水土流失量的监测主要采用简易坡面量测法、简易径流小区法和沉沙池法进行监测。</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2）重力侵蚀状况监测</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对于重力侵蚀状况，采用SL277—2002《水土保持监测技术规程》中7.3.6规定的方法。在汛期开始、每次暴雨过后和汛期终了，按照类型（崩塌、滑塌、泻溜），调查发生重力侵蚀的次数、地点、原因、面积、总的土方量及洪水冲走的土方量，以及每次暴雨后冲沟的泥石流发生情况、运动特征及固体搬运物质等。</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定位观测采用排桩法，从滑坡后缘稳定岩体开始，沿可能出现的滑坡变形最明显的轴向等距离布设一系列排桩。各桩间距为10m，埋深0.5—0.8m。按汛期每周一次、非汛期每月一次，量测各桩之间的距离（包括相临排桩地表直线间距、相临排桩桩端直线间距）。两排桩间距采用皮尺读取，多个排桩间距用水准仪测量。根据定期量测数据，可用于研究和判断滑坡的变形规模、机制及发展趋势。</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3）土壤性质指标量测</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涉及的土壤性质指标（容重、含水量、抗蚀性等）观测方法采用土壤理化分析手册和国家有关技术规范规定的标准方法。</w:t>
      </w:r>
    </w:p>
    <w:p>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5、水土保持措施防治效果的监测</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水土保持措施的实施数量，采用抽样调查的方式，通过实地调查核实；水土保持措施的质量，通过抽样调查的方式进行。对于工程防治措施，主要调查其稳定性、完好程度、质量等状况，按照SL277—2002《水土保持监测技术规程》中7.4.3规定的方法，并参照GB/T15772—2008《水土保持综合治理 规划通则》、GB/T16453.1～16453.6—2008《水土保持综合治理 技术规范》的规定；植物措施主要调查其林草的成活率、保存率、生长发育情况（林木的树高、胸径、冠幅）、抗冻性及其植被覆盖度的变化，采用SL277—2002《水土保持监测技术规程》中6.5.1～6.5.4和7.4.4规定的方法，参照SD239—87中第6.5.2条规定的方法。</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水土流失防治效果监测主要通过实地调查和核算的方法进行。水土保持措施的保土效益按照GB/T15774-2008《水土保持综合治理  效益计算方法》进行；拦渣效益通过量测实际拦渣量进行计算。</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六个防治目标的监测方法如下：</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1）扰动土地整治率</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根据工程设计资料，结合野外实地调查，统计各防治区内水土保持防治措施面积、永久建筑面积、水面积及扰动地表面积，分别计算各防治区的扰动土地整治率。</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2）水土流失总治理度</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通过实地调查和工程设计资料分析，统计分析各防治区的水土流失面积和水土保持防治措施面积，两者相除得出水土流失总治理度。</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3）土壤流失控制比</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根据定位观测得到的土壤侵蚀量，类比分析计算出各防治区的土壤侵蚀量，再计算各防治区的水土流失控制比，采用加权平均法计算本工程的土壤流失控制比。</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4）林草植被恢复率</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通过实地调查、现场量测和统计分析，得出实施植物措施面积及可以采取植物措施的面积，算得林草植被恢复率。</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5）林草覆盖率</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通过实地调查、现场测量和统计分析，确定已实施的植物措施面积与项目建设区总面积，两者相除得出林草覆盖率。</w:t>
      </w:r>
    </w:p>
    <w:p>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6、重大水土流失事件的监测</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采用现场巡查法，监测水土流失对主体工程及周边环境的影响等情况。应布设在水土流失防治措施的薄弱环节以及不良地质区段，施工过程中防治措施不能及时到位的施工区（段）应重点监测。</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1.3.6 监测成果提交情况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20</w:t>
      </w:r>
      <w:r>
        <w:rPr>
          <w:rFonts w:hint="default" w:ascii="Times New Roman" w:hAnsi="Times New Roman" w:cs="Times New Roman"/>
          <w:color w:val="auto"/>
          <w:highlight w:val="none"/>
          <w:lang w:val="en-US" w:eastAsia="zh-CN"/>
        </w:rPr>
        <w:t>16年10</w:t>
      </w:r>
      <w:r>
        <w:rPr>
          <w:rFonts w:hint="default" w:ascii="Times New Roman" w:hAnsi="Times New Roman" w:cs="Times New Roman"/>
          <w:color w:val="auto"/>
          <w:highlight w:val="none"/>
        </w:rPr>
        <w:t xml:space="preserve">月入场，根据现场监测、调查监测和资料收集，完成实施方案1 期，监测季报 12 期，年报 </w:t>
      </w:r>
      <w:r>
        <w:rPr>
          <w:rFonts w:hint="default" w:ascii="Times New Roman" w:hAnsi="Times New Roman" w:cs="Times New Roman"/>
          <w:color w:val="auto"/>
          <w:highlight w:val="none"/>
          <w:lang w:val="en-US" w:eastAsia="zh-CN"/>
        </w:rPr>
        <w:t>1</w:t>
      </w:r>
      <w:r>
        <w:rPr>
          <w:rFonts w:hint="default" w:ascii="Times New Roman" w:hAnsi="Times New Roman" w:cs="Times New Roman"/>
          <w:color w:val="auto"/>
          <w:highlight w:val="none"/>
        </w:rPr>
        <w:t xml:space="preserve"> 期，监测总结报告 1 期。监测成果均已提交</w:t>
      </w:r>
      <w:r>
        <w:rPr>
          <w:rFonts w:hint="default" w:ascii="Times New Roman" w:hAnsi="Times New Roman" w:cs="Times New Roman"/>
          <w:color w:val="auto"/>
          <w:highlight w:val="none"/>
          <w:lang w:val="en-US" w:eastAsia="zh-CN"/>
        </w:rPr>
        <w:t>衡阳市城市建设投资有限</w:t>
      </w:r>
      <w:r>
        <w:rPr>
          <w:rFonts w:hint="default" w:ascii="Times New Roman" w:hAnsi="Times New Roman" w:cs="Times New Roman"/>
          <w:color w:val="auto"/>
          <w:highlight w:val="none"/>
        </w:rPr>
        <w:t>公司。</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1.3.7 监测阶段性成果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通过遥感监测，并对卫星遥感图片处理，得出开工前、施工中和完工后的遥感影像，</w:t>
      </w:r>
      <w:r>
        <w:rPr>
          <w:rFonts w:hint="default" w:ascii="Times New Roman" w:hAnsi="Times New Roman" w:cs="Times New Roman"/>
          <w:color w:val="auto"/>
          <w:highlight w:val="none"/>
          <w:lang w:val="en-US" w:eastAsia="zh-CN"/>
        </w:rPr>
        <w:t>详见下图</w:t>
      </w:r>
    </w:p>
    <w:p>
      <w:pPr>
        <w:rPr>
          <w:rFonts w:hint="default" w:ascii="Times New Roman" w:hAnsi="Times New Roman" w:cs="Times New Roman"/>
          <w:color w:val="auto"/>
          <w:highlight w:val="none"/>
          <w:lang w:val="en-US" w:eastAsia="zh-CN"/>
        </w:rPr>
        <w:sectPr>
          <w:headerReference r:id="rId18" w:type="default"/>
          <w:pgSz w:w="11910" w:h="16840"/>
          <w:pgMar w:top="1440" w:right="1440" w:bottom="1440" w:left="1440" w:header="882" w:footer="1054" w:gutter="0"/>
          <w:pgNumType w:fmt="decimal"/>
          <w:cols w:space="720" w:num="1"/>
        </w:sectPr>
      </w:pPr>
    </w:p>
    <w:p>
      <w:pPr>
        <w:rPr>
          <w:rFonts w:hint="default" w:ascii="Times New Roman" w:hAnsi="Times New Roman" w:eastAsia="宋体" w:cs="Times New Roman"/>
          <w:color w:val="auto"/>
          <w:highlight w:val="none"/>
          <w:lang w:val="en-US" w:eastAsia="zh-CN"/>
        </w:rPr>
      </w:pPr>
      <w:r>
        <w:rPr>
          <w:rFonts w:hint="default" w:ascii="Times New Roman" w:hAnsi="Times New Roman" w:eastAsia="宋体" w:cs="Times New Roman"/>
          <w:color w:val="auto"/>
          <w:sz w:val="24"/>
          <w:szCs w:val="24"/>
          <w:highlight w:val="none"/>
        </w:rPr>
        <w:drawing>
          <wp:inline distT="0" distB="0" distL="114300" distR="114300">
            <wp:extent cx="2346960" cy="2085975"/>
            <wp:effectExtent l="0" t="0" r="15240" b="9525"/>
            <wp:docPr id="34"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4" name="图片 3" descr="IMG_256"/>
                    <pic:cNvPicPr>
                      <a:picLocks noChangeAspect="1"/>
                    </pic:cNvPicPr>
                  </pic:nvPicPr>
                  <pic:blipFill>
                    <a:blip r:embed="rId52"/>
                    <a:stretch>
                      <a:fillRect/>
                    </a:stretch>
                  </pic:blipFill>
                  <pic:spPr>
                    <a:xfrm>
                      <a:off x="0" y="0"/>
                      <a:ext cx="2346960" cy="2085975"/>
                    </a:xfrm>
                    <a:prstGeom prst="rect">
                      <a:avLst/>
                    </a:prstGeom>
                    <a:noFill/>
                    <a:ln w="9525">
                      <a:noFill/>
                    </a:ln>
                  </pic:spPr>
                </pic:pic>
              </a:graphicData>
            </a:graphic>
          </wp:inline>
        </w:drawing>
      </w:r>
      <w:r>
        <w:rPr>
          <w:rFonts w:hint="eastAsia" w:ascii="Times New Roman" w:hAnsi="Times New Roman" w:eastAsia="宋体" w:cs="Times New Roman"/>
          <w:color w:val="auto"/>
          <w:sz w:val="24"/>
          <w:szCs w:val="24"/>
          <w:highlight w:val="none"/>
          <w:lang w:val="en-US" w:eastAsia="zh-CN"/>
        </w:rPr>
        <w:t xml:space="preserve">   </w:t>
      </w:r>
      <w:r>
        <w:rPr>
          <w:rFonts w:hint="default" w:ascii="Times New Roman" w:hAnsi="Times New Roman" w:eastAsia="宋体" w:cs="Times New Roman"/>
          <w:color w:val="auto"/>
          <w:sz w:val="24"/>
          <w:szCs w:val="24"/>
          <w:highlight w:val="none"/>
        </w:rPr>
        <w:drawing>
          <wp:inline distT="0" distB="0" distL="114300" distR="114300">
            <wp:extent cx="2413635" cy="2157095"/>
            <wp:effectExtent l="0" t="0" r="5715" b="14605"/>
            <wp:docPr id="36"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6" name="图片 4" descr="IMG_256"/>
                    <pic:cNvPicPr>
                      <a:picLocks noChangeAspect="1"/>
                    </pic:cNvPicPr>
                  </pic:nvPicPr>
                  <pic:blipFill>
                    <a:blip r:embed="rId51"/>
                    <a:stretch>
                      <a:fillRect/>
                    </a:stretch>
                  </pic:blipFill>
                  <pic:spPr>
                    <a:xfrm>
                      <a:off x="0" y="0"/>
                      <a:ext cx="2413635" cy="2157095"/>
                    </a:xfrm>
                    <a:prstGeom prst="rect">
                      <a:avLst/>
                    </a:prstGeom>
                    <a:noFill/>
                    <a:ln w="9525">
                      <a:noFill/>
                    </a:ln>
                  </pic:spPr>
                </pic:pic>
              </a:graphicData>
            </a:graphic>
          </wp:inline>
        </w:drawing>
      </w:r>
    </w:p>
    <w:p>
      <w:p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开工前图像 </w:t>
      </w:r>
      <w:r>
        <w:rPr>
          <w:rFonts w:hint="eastAsia"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eastAsia="zh-CN"/>
        </w:rPr>
        <w:t>完工后图像</w:t>
      </w:r>
      <w:r>
        <w:rPr>
          <w:rFonts w:hint="default" w:ascii="Times New Roman" w:hAnsi="Times New Roman" w:cs="Times New Roman"/>
          <w:color w:val="auto"/>
          <w:highlight w:val="none"/>
          <w:lang w:val="en-US" w:eastAsia="zh-CN"/>
        </w:rPr>
        <w:br w:type="page"/>
      </w:r>
    </w:p>
    <w:p>
      <w:pPr>
        <w:rPr>
          <w:rFonts w:hint="default" w:ascii="Times New Roman" w:hAnsi="Times New Roman" w:eastAsia="仿宋" w:cs="Times New Roman"/>
          <w:color w:val="auto"/>
          <w:highlight w:val="none"/>
          <w:lang w:val="en-US" w:eastAsia="zh-CN"/>
        </w:rPr>
      </w:pPr>
      <w:r>
        <w:rPr>
          <w:rFonts w:hint="default" w:ascii="Times New Roman" w:hAnsi="Times New Roman" w:eastAsia="宋体" w:cs="Times New Roman"/>
          <w:color w:val="auto"/>
          <w:sz w:val="24"/>
          <w:szCs w:val="24"/>
          <w:highlight w:val="none"/>
          <w:lang w:val="en-US" w:eastAsia="zh-CN"/>
        </w:rPr>
        <w:t xml:space="preserve">    </w:t>
      </w:r>
    </w:p>
    <w:p>
      <w:pPr>
        <w:pStyle w:val="2"/>
        <w:bidi w:val="0"/>
        <w:spacing w:line="360" w:lineRule="auto"/>
        <w:rPr>
          <w:rFonts w:hint="default" w:ascii="Times New Roman" w:hAnsi="Times New Roman" w:cs="Times New Roman"/>
          <w:color w:val="auto"/>
          <w:highlight w:val="none"/>
          <w:lang w:val="en-US" w:eastAsia="zh-CN"/>
        </w:rPr>
      </w:pPr>
      <w:bookmarkStart w:id="224" w:name="_Toc13154"/>
      <w:bookmarkStart w:id="225" w:name="_Toc2745"/>
      <w:bookmarkStart w:id="226" w:name="_Toc21082"/>
      <w:bookmarkStart w:id="227" w:name="_Toc27760"/>
      <w:r>
        <w:rPr>
          <w:rFonts w:hint="default" w:ascii="Times New Roman" w:hAnsi="Times New Roman" w:cs="Times New Roman"/>
          <w:color w:val="auto"/>
          <w:highlight w:val="none"/>
          <w:lang w:val="en-US" w:eastAsia="zh-CN"/>
        </w:rPr>
        <w:t>2 监测内容与方法</w:t>
      </w:r>
      <w:bookmarkEnd w:id="224"/>
      <w:bookmarkEnd w:id="225"/>
      <w:bookmarkEnd w:id="226"/>
      <w:bookmarkEnd w:id="227"/>
    </w:p>
    <w:p>
      <w:pPr>
        <w:pStyle w:val="3"/>
        <w:bidi w:val="0"/>
        <w:spacing w:line="360" w:lineRule="auto"/>
        <w:rPr>
          <w:rFonts w:hint="default" w:ascii="Times New Roman" w:hAnsi="Times New Roman" w:cs="Times New Roman"/>
          <w:color w:val="auto"/>
          <w:highlight w:val="none"/>
          <w:lang w:val="en-US" w:eastAsia="zh-CN"/>
        </w:rPr>
      </w:pPr>
      <w:bookmarkStart w:id="228" w:name="_Toc17949"/>
      <w:bookmarkStart w:id="229" w:name="_Toc28388"/>
      <w:bookmarkStart w:id="230" w:name="_Toc14938"/>
      <w:bookmarkStart w:id="231" w:name="_Toc23129"/>
      <w:r>
        <w:rPr>
          <w:rFonts w:hint="default" w:ascii="Times New Roman" w:hAnsi="Times New Roman" w:cs="Times New Roman"/>
          <w:color w:val="auto"/>
          <w:highlight w:val="none"/>
          <w:lang w:val="en-US" w:eastAsia="zh-CN"/>
        </w:rPr>
        <w:t>2.</w:t>
      </w:r>
      <w:r>
        <w:rPr>
          <w:rFonts w:hint="default" w:ascii="Times New Roman" w:hAnsi="Times New Roman" w:cs="Times New Roman"/>
          <w:color w:val="auto"/>
          <w:highlight w:val="none"/>
          <w:lang w:eastAsia="zh-CN"/>
        </w:rPr>
        <w:t xml:space="preserve">1 </w:t>
      </w:r>
      <w:r>
        <w:rPr>
          <w:rFonts w:hint="default" w:ascii="Times New Roman" w:hAnsi="Times New Roman" w:cs="Times New Roman"/>
          <w:color w:val="auto"/>
          <w:highlight w:val="none"/>
          <w:lang w:val="en-US" w:eastAsia="zh-CN"/>
        </w:rPr>
        <w:t>扰动地表情况监测</w:t>
      </w:r>
      <w:bookmarkEnd w:id="228"/>
      <w:bookmarkEnd w:id="229"/>
      <w:bookmarkEnd w:id="230"/>
      <w:bookmarkEnd w:id="231"/>
    </w:p>
    <w:p>
      <w:pPr>
        <w:pStyle w:val="8"/>
        <w:keepNext w:val="0"/>
        <w:keepLines w:val="0"/>
        <w:pageBreakBefore w:val="0"/>
        <w:widowControl w:val="0"/>
        <w:kinsoku/>
        <w:wordWrap/>
        <w:overflowPunct/>
        <w:topLinePunct w:val="0"/>
        <w:autoSpaceDE/>
        <w:autoSpaceDN/>
        <w:bidi w:val="0"/>
        <w:adjustRightInd/>
        <w:snapToGrid/>
        <w:spacing w:line="360" w:lineRule="auto"/>
        <w:ind w:right="833" w:firstLine="464"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4"/>
          <w:highlight w:val="none"/>
        </w:rPr>
        <w:t>扰动土地情况监测的内容包括扰动范围、面积、土地利用类型及其变化情况等。扰</w:t>
      </w:r>
      <w:r>
        <w:rPr>
          <w:rFonts w:hint="default" w:ascii="Times New Roman" w:hAnsi="Times New Roman" w:cs="Times New Roman"/>
          <w:color w:val="auto"/>
          <w:highlight w:val="none"/>
        </w:rPr>
        <w:t>动土地情况监测采用实地量测、</w:t>
      </w:r>
      <w:r>
        <w:rPr>
          <w:rFonts w:hint="default" w:ascii="Times New Roman" w:hAnsi="Times New Roman" w:eastAsia="Times New Roman" w:cs="Times New Roman"/>
          <w:color w:val="auto"/>
          <w:highlight w:val="none"/>
        </w:rPr>
        <w:t xml:space="preserve">GPS </w:t>
      </w:r>
      <w:r>
        <w:rPr>
          <w:rFonts w:hint="default" w:ascii="Times New Roman" w:hAnsi="Times New Roman" w:cs="Times New Roman"/>
          <w:color w:val="auto"/>
          <w:highlight w:val="none"/>
        </w:rPr>
        <w:t>测量和资料分析的方法。</w:t>
      </w:r>
      <w:bookmarkStart w:id="232" w:name="_TOC_250032"/>
      <w:bookmarkEnd w:id="232"/>
    </w:p>
    <w:p>
      <w:pPr>
        <w:pStyle w:val="3"/>
        <w:bidi w:val="0"/>
        <w:rPr>
          <w:rFonts w:hint="default" w:ascii="Times New Roman" w:hAnsi="Times New Roman" w:cs="Times New Roman"/>
          <w:color w:val="auto"/>
          <w:highlight w:val="none"/>
        </w:rPr>
      </w:pPr>
      <w:bookmarkStart w:id="233" w:name="_Toc21750"/>
      <w:bookmarkStart w:id="234" w:name="_Toc19165"/>
      <w:bookmarkStart w:id="235" w:name="_Toc17862"/>
      <w:bookmarkStart w:id="236" w:name="_Toc21103"/>
      <w:r>
        <w:rPr>
          <w:rFonts w:hint="default" w:ascii="Times New Roman" w:hAnsi="Times New Roman" w:cs="Times New Roman"/>
          <w:color w:val="auto"/>
          <w:highlight w:val="none"/>
        </w:rPr>
        <w:t>2.2 取土、弃渣监测</w:t>
      </w:r>
      <w:bookmarkEnd w:id="233"/>
      <w:bookmarkEnd w:id="234"/>
      <w:bookmarkEnd w:id="235"/>
      <w:bookmarkEnd w:id="236"/>
    </w:p>
    <w:p>
      <w:pPr>
        <w:pStyle w:val="8"/>
        <w:spacing w:before="248" w:line="364" w:lineRule="auto"/>
        <w:ind w:left="238" w:right="833" w:firstLine="480"/>
        <w:jc w:val="both"/>
        <w:rPr>
          <w:rFonts w:hint="default" w:ascii="Times New Roman" w:hAnsi="Times New Roman" w:cs="Times New Roman"/>
          <w:color w:val="auto"/>
          <w:highlight w:val="none"/>
        </w:rPr>
      </w:pPr>
      <w:r>
        <w:rPr>
          <w:rFonts w:hint="default" w:ascii="Times New Roman" w:hAnsi="Times New Roman" w:cs="Times New Roman"/>
          <w:color w:val="auto"/>
          <w:spacing w:val="-3"/>
          <w:highlight w:val="none"/>
        </w:rPr>
        <w:t>采用查阅设计文件资料，结合实地情况调查、</w:t>
      </w:r>
      <w:r>
        <w:rPr>
          <w:rFonts w:hint="default" w:ascii="Times New Roman" w:hAnsi="Times New Roman" w:eastAsia="Times New Roman" w:cs="Times New Roman"/>
          <w:color w:val="auto"/>
          <w:highlight w:val="none"/>
        </w:rPr>
        <w:t xml:space="preserve">GPS </w:t>
      </w:r>
      <w:r>
        <w:rPr>
          <w:rFonts w:hint="default" w:ascii="Times New Roman" w:hAnsi="Times New Roman" w:cs="Times New Roman"/>
          <w:color w:val="auto"/>
          <w:spacing w:val="-6"/>
          <w:highlight w:val="none"/>
        </w:rPr>
        <w:t>测量分析，进行对比核实，核算工程挖方、填方数量。</w:t>
      </w:r>
    </w:p>
    <w:p>
      <w:pPr>
        <w:pStyle w:val="3"/>
        <w:bidi w:val="0"/>
        <w:rPr>
          <w:rFonts w:hint="default" w:ascii="Times New Roman" w:hAnsi="Times New Roman" w:cs="Times New Roman"/>
          <w:color w:val="auto"/>
          <w:highlight w:val="none"/>
        </w:rPr>
      </w:pPr>
      <w:bookmarkStart w:id="237" w:name="_TOC_250031"/>
      <w:bookmarkEnd w:id="237"/>
      <w:bookmarkStart w:id="238" w:name="_Toc21692"/>
      <w:bookmarkStart w:id="239" w:name="_Toc11481"/>
      <w:bookmarkStart w:id="240" w:name="_Toc12739"/>
      <w:bookmarkStart w:id="241" w:name="_Toc15216"/>
      <w:r>
        <w:rPr>
          <w:rFonts w:hint="default" w:ascii="Times New Roman" w:hAnsi="Times New Roman" w:cs="Times New Roman"/>
          <w:color w:val="auto"/>
          <w:highlight w:val="none"/>
        </w:rPr>
        <w:t>2.3 水土保持措施</w:t>
      </w:r>
      <w:bookmarkEnd w:id="238"/>
      <w:bookmarkEnd w:id="239"/>
      <w:bookmarkEnd w:id="240"/>
      <w:bookmarkEnd w:id="241"/>
    </w:p>
    <w:p>
      <w:pPr>
        <w:pStyle w:val="8"/>
        <w:keepNext w:val="0"/>
        <w:keepLines w:val="0"/>
        <w:pageBreakBefore w:val="0"/>
        <w:widowControl w:val="0"/>
        <w:kinsoku/>
        <w:wordWrap/>
        <w:overflowPunct/>
        <w:topLinePunct w:val="0"/>
        <w:autoSpaceDE/>
        <w:autoSpaceDN/>
        <w:bidi w:val="0"/>
        <w:adjustRightInd/>
        <w:snapToGrid/>
        <w:spacing w:before="248" w:line="360" w:lineRule="auto"/>
        <w:ind w:right="828" w:firstLine="480"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水土保持措施监测采用实地量测和资料分析相结合的方法。工程及临时措施，主要调查其实施进度、稳定性、完好程度、质量和运行状况；植物措施主要调查其成活率、生长状况及林草覆盖度情况。</w:t>
      </w:r>
    </w:p>
    <w:p>
      <w:pPr>
        <w:pStyle w:val="8"/>
        <w:keepNext w:val="0"/>
        <w:keepLines w:val="0"/>
        <w:pageBreakBefore w:val="0"/>
        <w:widowControl w:val="0"/>
        <w:kinsoku/>
        <w:wordWrap/>
        <w:overflowPunct/>
        <w:topLinePunct w:val="0"/>
        <w:autoSpaceDE/>
        <w:autoSpaceDN/>
        <w:bidi w:val="0"/>
        <w:adjustRightInd/>
        <w:snapToGrid/>
        <w:spacing w:line="360" w:lineRule="auto"/>
        <w:ind w:right="819" w:firstLine="480" w:firstLineChars="200"/>
        <w:jc w:val="both"/>
        <w:textAlignment w:val="auto"/>
        <w:rPr>
          <w:rFonts w:hint="default" w:ascii="Times New Roman" w:hAnsi="Times New Roman" w:cs="Times New Roman"/>
          <w:color w:val="auto"/>
          <w:highlight w:val="none"/>
        </w:rPr>
        <w:sectPr>
          <w:headerReference r:id="rId19" w:type="default"/>
          <w:type w:val="continuous"/>
          <w:pgSz w:w="11910" w:h="16840"/>
          <w:pgMar w:top="1440" w:right="1440" w:bottom="1440" w:left="1440" w:header="882" w:footer="1054" w:gutter="0"/>
          <w:pgNumType w:fmt="decimal"/>
          <w:cols w:space="720" w:num="1"/>
        </w:sectPr>
      </w:pPr>
      <w:r>
        <w:rPr>
          <w:rFonts w:hint="default" w:ascii="Times New Roman" w:hAnsi="Times New Roman" w:cs="Times New Roman"/>
          <w:color w:val="auto"/>
          <w:highlight w:val="none"/>
        </w:rPr>
        <w:t>依据批复的水保方案、施工图设计及各标段施工组织设计等，根据现场实际情况，建立水土保持措施名录。在工程建设中，依据监测方法和频次，定期开展水土保持措施监测，填写记录表。水土保持措施监测内容与方法见表。</w:t>
      </w:r>
    </w:p>
    <w:p>
      <w:pPr>
        <w:jc w:val="center"/>
        <w:rPr>
          <w:rFonts w:hint="default" w:ascii="Times New Roman" w:hAnsi="Times New Roman" w:cs="Times New Roman"/>
          <w:color w:val="auto"/>
          <w:highlight w:val="none"/>
        </w:rPr>
      </w:pPr>
      <w:r>
        <w:rPr>
          <w:rFonts w:hint="default" w:ascii="Times New Roman" w:hAnsi="Times New Roman" w:cs="Times New Roman"/>
          <w:color w:val="auto"/>
          <w:highlight w:val="none"/>
        </w:rPr>
        <w:t>水土保持措施监测内容与方法</w:t>
      </w:r>
    </w:p>
    <w:p>
      <w:pPr>
        <w:pStyle w:val="8"/>
        <w:spacing w:before="3"/>
        <w:rPr>
          <w:rFonts w:hint="default" w:ascii="Times New Roman" w:hAnsi="Times New Roman" w:cs="Times New Roman"/>
          <w:color w:val="auto"/>
          <w:sz w:val="12"/>
          <w:highlight w:val="none"/>
        </w:rPr>
      </w:pP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26"/>
        <w:gridCol w:w="2449"/>
        <w:gridCol w:w="2027"/>
        <w:gridCol w:w="2385"/>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426" w:type="dxa"/>
          </w:tcPr>
          <w:p>
            <w:pPr>
              <w:pStyle w:val="24"/>
              <w:spacing w:before="34"/>
              <w:ind w:left="793"/>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监测内容</w:t>
            </w:r>
          </w:p>
        </w:tc>
        <w:tc>
          <w:tcPr>
            <w:tcW w:w="2449" w:type="dxa"/>
          </w:tcPr>
          <w:p>
            <w:pPr>
              <w:pStyle w:val="24"/>
              <w:spacing w:before="34"/>
              <w:ind w:left="154" w:right="14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监测指标</w:t>
            </w:r>
          </w:p>
        </w:tc>
        <w:tc>
          <w:tcPr>
            <w:tcW w:w="2027" w:type="dxa"/>
          </w:tcPr>
          <w:p>
            <w:pPr>
              <w:pStyle w:val="24"/>
              <w:spacing w:before="34"/>
              <w:ind w:left="48" w:right="39"/>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监测方法</w:t>
            </w:r>
          </w:p>
        </w:tc>
        <w:tc>
          <w:tcPr>
            <w:tcW w:w="2385" w:type="dxa"/>
          </w:tcPr>
          <w:p>
            <w:pPr>
              <w:pStyle w:val="24"/>
              <w:spacing w:before="34"/>
              <w:ind w:left="77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监测设备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2426" w:type="dxa"/>
            <w:vMerge w:val="restart"/>
          </w:tcPr>
          <w:p>
            <w:pPr>
              <w:pStyle w:val="24"/>
              <w:spacing w:before="12"/>
              <w:jc w:val="left"/>
              <w:rPr>
                <w:rFonts w:hint="default" w:ascii="Times New Roman" w:hAnsi="Times New Roman" w:cs="Times New Roman"/>
                <w:color w:val="auto"/>
                <w:sz w:val="29"/>
                <w:highlight w:val="none"/>
              </w:rPr>
            </w:pPr>
          </w:p>
          <w:p>
            <w:pPr>
              <w:pStyle w:val="24"/>
              <w:ind w:left="793"/>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工程措施</w:t>
            </w:r>
          </w:p>
        </w:tc>
        <w:tc>
          <w:tcPr>
            <w:tcW w:w="2449" w:type="dxa"/>
          </w:tcPr>
          <w:p>
            <w:pPr>
              <w:pStyle w:val="24"/>
              <w:spacing w:before="33"/>
              <w:ind w:left="154" w:right="14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类型</w:t>
            </w:r>
          </w:p>
        </w:tc>
        <w:tc>
          <w:tcPr>
            <w:tcW w:w="2027" w:type="dxa"/>
            <w:vMerge w:val="restart"/>
          </w:tcPr>
          <w:p>
            <w:pPr>
              <w:pStyle w:val="24"/>
              <w:spacing w:before="3"/>
              <w:jc w:val="left"/>
              <w:rPr>
                <w:rFonts w:hint="default" w:ascii="Times New Roman" w:hAnsi="Times New Roman" w:cs="Times New Roman"/>
                <w:color w:val="auto"/>
                <w:sz w:val="19"/>
                <w:highlight w:val="none"/>
              </w:rPr>
            </w:pPr>
          </w:p>
          <w:p>
            <w:pPr>
              <w:pStyle w:val="24"/>
              <w:spacing w:line="242" w:lineRule="auto"/>
              <w:ind w:left="593" w:right="161" w:hanging="42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现场调查、查阅资料、巡查</w:t>
            </w:r>
          </w:p>
        </w:tc>
        <w:tc>
          <w:tcPr>
            <w:tcW w:w="2385" w:type="dxa"/>
            <w:vMerge w:val="restart"/>
          </w:tcPr>
          <w:p>
            <w:pPr>
              <w:pStyle w:val="24"/>
              <w:spacing w:before="12"/>
              <w:jc w:val="left"/>
              <w:rPr>
                <w:rFonts w:hint="default" w:ascii="Times New Roman" w:hAnsi="Times New Roman" w:cs="Times New Roman"/>
                <w:color w:val="auto"/>
                <w:sz w:val="29"/>
                <w:highlight w:val="none"/>
              </w:rPr>
            </w:pPr>
          </w:p>
          <w:p>
            <w:pPr>
              <w:pStyle w:val="24"/>
              <w:ind w:left="14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照相机、皮尺、测距仪</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426" w:type="dxa"/>
            <w:vMerge w:val="continue"/>
            <w:tcBorders>
              <w:top w:val="nil"/>
            </w:tcBorders>
          </w:tcPr>
          <w:p>
            <w:pPr>
              <w:rPr>
                <w:rFonts w:hint="default" w:ascii="Times New Roman" w:hAnsi="Times New Roman" w:cs="Times New Roman"/>
                <w:color w:val="auto"/>
                <w:sz w:val="2"/>
                <w:szCs w:val="2"/>
                <w:highlight w:val="none"/>
              </w:rPr>
            </w:pPr>
          </w:p>
        </w:tc>
        <w:tc>
          <w:tcPr>
            <w:tcW w:w="2449" w:type="dxa"/>
          </w:tcPr>
          <w:p>
            <w:pPr>
              <w:pStyle w:val="24"/>
              <w:spacing w:before="34"/>
              <w:ind w:left="154" w:right="14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数量</w:t>
            </w:r>
          </w:p>
        </w:tc>
        <w:tc>
          <w:tcPr>
            <w:tcW w:w="2027" w:type="dxa"/>
            <w:vMerge w:val="continue"/>
            <w:tcBorders>
              <w:top w:val="nil"/>
            </w:tcBorders>
          </w:tcPr>
          <w:p>
            <w:pPr>
              <w:rPr>
                <w:rFonts w:hint="default" w:ascii="Times New Roman" w:hAnsi="Times New Roman" w:cs="Times New Roman"/>
                <w:color w:val="auto"/>
                <w:sz w:val="2"/>
                <w:szCs w:val="2"/>
                <w:highlight w:val="none"/>
              </w:rPr>
            </w:pPr>
          </w:p>
        </w:tc>
        <w:tc>
          <w:tcPr>
            <w:tcW w:w="2385" w:type="dxa"/>
            <w:vMerge w:val="continue"/>
            <w:tcBorders>
              <w:top w:val="nil"/>
            </w:tcBorders>
          </w:tcPr>
          <w:p>
            <w:pPr>
              <w:rPr>
                <w:rFonts w:hint="default" w:ascii="Times New Roman" w:hAnsi="Times New Roman" w:cs="Times New Roman"/>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426" w:type="dxa"/>
            <w:vMerge w:val="continue"/>
            <w:tcBorders>
              <w:top w:val="nil"/>
            </w:tcBorders>
          </w:tcPr>
          <w:p>
            <w:pPr>
              <w:rPr>
                <w:rFonts w:hint="default" w:ascii="Times New Roman" w:hAnsi="Times New Roman" w:cs="Times New Roman"/>
                <w:color w:val="auto"/>
                <w:sz w:val="2"/>
                <w:szCs w:val="2"/>
                <w:highlight w:val="none"/>
              </w:rPr>
            </w:pPr>
          </w:p>
        </w:tc>
        <w:tc>
          <w:tcPr>
            <w:tcW w:w="2449" w:type="dxa"/>
          </w:tcPr>
          <w:p>
            <w:pPr>
              <w:pStyle w:val="24"/>
              <w:spacing w:before="34"/>
              <w:ind w:left="154" w:right="14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质量</w:t>
            </w:r>
          </w:p>
        </w:tc>
        <w:tc>
          <w:tcPr>
            <w:tcW w:w="2027" w:type="dxa"/>
            <w:vMerge w:val="continue"/>
            <w:tcBorders>
              <w:top w:val="nil"/>
            </w:tcBorders>
          </w:tcPr>
          <w:p>
            <w:pPr>
              <w:rPr>
                <w:rFonts w:hint="default" w:ascii="Times New Roman" w:hAnsi="Times New Roman" w:cs="Times New Roman"/>
                <w:color w:val="auto"/>
                <w:sz w:val="2"/>
                <w:szCs w:val="2"/>
                <w:highlight w:val="none"/>
              </w:rPr>
            </w:pPr>
          </w:p>
        </w:tc>
        <w:tc>
          <w:tcPr>
            <w:tcW w:w="2385" w:type="dxa"/>
            <w:vMerge w:val="continue"/>
            <w:tcBorders>
              <w:top w:val="nil"/>
            </w:tcBorders>
          </w:tcPr>
          <w:p>
            <w:pPr>
              <w:rPr>
                <w:rFonts w:hint="default" w:ascii="Times New Roman" w:hAnsi="Times New Roman" w:cs="Times New Roman"/>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2426" w:type="dxa"/>
            <w:vMerge w:val="restart"/>
            <w:tcBorders>
              <w:left w:val="single" w:color="auto" w:sz="4" w:space="0"/>
            </w:tcBorders>
          </w:tcPr>
          <w:p>
            <w:pPr>
              <w:pStyle w:val="24"/>
              <w:jc w:val="left"/>
              <w:rPr>
                <w:rFonts w:hint="default" w:ascii="Times New Roman" w:hAnsi="Times New Roman" w:cs="Times New Roman"/>
                <w:color w:val="auto"/>
                <w:sz w:val="20"/>
                <w:highlight w:val="none"/>
              </w:rPr>
            </w:pPr>
          </w:p>
          <w:p>
            <w:pPr>
              <w:pStyle w:val="24"/>
              <w:jc w:val="left"/>
              <w:rPr>
                <w:rFonts w:hint="default" w:ascii="Times New Roman" w:hAnsi="Times New Roman" w:cs="Times New Roman"/>
                <w:color w:val="auto"/>
                <w:sz w:val="20"/>
                <w:highlight w:val="none"/>
              </w:rPr>
            </w:pPr>
          </w:p>
          <w:p>
            <w:pPr>
              <w:pStyle w:val="24"/>
              <w:jc w:val="left"/>
              <w:rPr>
                <w:rFonts w:hint="default" w:ascii="Times New Roman" w:hAnsi="Times New Roman" w:cs="Times New Roman"/>
                <w:color w:val="auto"/>
                <w:sz w:val="20"/>
                <w:highlight w:val="none"/>
              </w:rPr>
            </w:pPr>
          </w:p>
          <w:p>
            <w:pPr>
              <w:pStyle w:val="24"/>
              <w:spacing w:before="139"/>
              <w:ind w:left="793"/>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植物措施</w:t>
            </w:r>
          </w:p>
        </w:tc>
        <w:tc>
          <w:tcPr>
            <w:tcW w:w="2449" w:type="dxa"/>
          </w:tcPr>
          <w:p>
            <w:pPr>
              <w:pStyle w:val="24"/>
              <w:spacing w:before="33"/>
              <w:ind w:left="154" w:right="14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类型</w:t>
            </w:r>
          </w:p>
        </w:tc>
        <w:tc>
          <w:tcPr>
            <w:tcW w:w="2027" w:type="dxa"/>
            <w:vMerge w:val="restart"/>
          </w:tcPr>
          <w:p>
            <w:pPr>
              <w:pStyle w:val="24"/>
              <w:jc w:val="left"/>
              <w:rPr>
                <w:rFonts w:hint="default" w:ascii="Times New Roman" w:hAnsi="Times New Roman" w:cs="Times New Roman"/>
                <w:color w:val="auto"/>
                <w:sz w:val="20"/>
                <w:highlight w:val="none"/>
              </w:rPr>
            </w:pPr>
          </w:p>
          <w:p>
            <w:pPr>
              <w:pStyle w:val="24"/>
              <w:jc w:val="left"/>
              <w:rPr>
                <w:rFonts w:hint="default" w:ascii="Times New Roman" w:hAnsi="Times New Roman" w:cs="Times New Roman"/>
                <w:color w:val="auto"/>
                <w:sz w:val="20"/>
                <w:highlight w:val="none"/>
              </w:rPr>
            </w:pPr>
          </w:p>
          <w:p>
            <w:pPr>
              <w:pStyle w:val="24"/>
              <w:spacing w:before="3"/>
              <w:jc w:val="left"/>
              <w:rPr>
                <w:rFonts w:hint="default" w:ascii="Times New Roman" w:hAnsi="Times New Roman" w:cs="Times New Roman"/>
                <w:color w:val="auto"/>
                <w:sz w:val="20"/>
                <w:highlight w:val="none"/>
              </w:rPr>
            </w:pPr>
          </w:p>
          <w:p>
            <w:pPr>
              <w:pStyle w:val="24"/>
              <w:spacing w:before="1" w:line="242" w:lineRule="auto"/>
              <w:ind w:left="593" w:right="161" w:hanging="42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样方调查、查阅资料、巡查</w:t>
            </w:r>
          </w:p>
        </w:tc>
        <w:tc>
          <w:tcPr>
            <w:tcW w:w="2385" w:type="dxa"/>
            <w:vMerge w:val="restart"/>
            <w:tcBorders>
              <w:right w:val="single" w:color="auto" w:sz="4" w:space="0"/>
            </w:tcBorders>
          </w:tcPr>
          <w:p>
            <w:pPr>
              <w:pStyle w:val="24"/>
              <w:jc w:val="left"/>
              <w:rPr>
                <w:rFonts w:hint="default" w:ascii="Times New Roman" w:hAnsi="Times New Roman" w:cs="Times New Roman"/>
                <w:color w:val="auto"/>
                <w:sz w:val="20"/>
                <w:highlight w:val="none"/>
              </w:rPr>
            </w:pPr>
          </w:p>
          <w:p>
            <w:pPr>
              <w:pStyle w:val="24"/>
              <w:jc w:val="left"/>
              <w:rPr>
                <w:rFonts w:hint="default" w:ascii="Times New Roman" w:hAnsi="Times New Roman" w:cs="Times New Roman"/>
                <w:color w:val="auto"/>
                <w:sz w:val="20"/>
                <w:highlight w:val="none"/>
              </w:rPr>
            </w:pPr>
          </w:p>
          <w:p>
            <w:pPr>
              <w:pStyle w:val="24"/>
              <w:jc w:val="left"/>
              <w:rPr>
                <w:rFonts w:hint="default" w:ascii="Times New Roman" w:hAnsi="Times New Roman" w:cs="Times New Roman"/>
                <w:color w:val="auto"/>
                <w:sz w:val="20"/>
                <w:highlight w:val="none"/>
              </w:rPr>
            </w:pPr>
          </w:p>
          <w:p>
            <w:pPr>
              <w:pStyle w:val="24"/>
              <w:spacing w:before="139"/>
              <w:ind w:left="246"/>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照相机、皮尺、卷尺</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426" w:type="dxa"/>
            <w:vMerge w:val="continue"/>
            <w:tcBorders>
              <w:top w:val="nil"/>
              <w:left w:val="single" w:color="auto" w:sz="4" w:space="0"/>
            </w:tcBorders>
          </w:tcPr>
          <w:p>
            <w:pPr>
              <w:rPr>
                <w:rFonts w:hint="default" w:ascii="Times New Roman" w:hAnsi="Times New Roman" w:cs="Times New Roman"/>
                <w:color w:val="auto"/>
                <w:sz w:val="2"/>
                <w:szCs w:val="2"/>
                <w:highlight w:val="none"/>
              </w:rPr>
            </w:pPr>
          </w:p>
        </w:tc>
        <w:tc>
          <w:tcPr>
            <w:tcW w:w="2449" w:type="dxa"/>
          </w:tcPr>
          <w:p>
            <w:pPr>
              <w:pStyle w:val="24"/>
              <w:spacing w:before="34"/>
              <w:ind w:left="154" w:right="14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绿化面积</w:t>
            </w:r>
          </w:p>
        </w:tc>
        <w:tc>
          <w:tcPr>
            <w:tcW w:w="2027" w:type="dxa"/>
            <w:vMerge w:val="continue"/>
            <w:tcBorders>
              <w:top w:val="nil"/>
            </w:tcBorders>
          </w:tcPr>
          <w:p>
            <w:pPr>
              <w:rPr>
                <w:rFonts w:hint="default" w:ascii="Times New Roman" w:hAnsi="Times New Roman" w:cs="Times New Roman"/>
                <w:color w:val="auto"/>
                <w:sz w:val="2"/>
                <w:szCs w:val="2"/>
                <w:highlight w:val="none"/>
              </w:rPr>
            </w:pPr>
          </w:p>
        </w:tc>
        <w:tc>
          <w:tcPr>
            <w:tcW w:w="2385" w:type="dxa"/>
            <w:vMerge w:val="continue"/>
            <w:tcBorders>
              <w:top w:val="nil"/>
              <w:right w:val="single" w:color="auto" w:sz="4" w:space="0"/>
            </w:tcBorders>
          </w:tcPr>
          <w:p>
            <w:pPr>
              <w:rPr>
                <w:rFonts w:hint="default" w:ascii="Times New Roman" w:hAnsi="Times New Roman" w:cs="Times New Roman"/>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426" w:type="dxa"/>
            <w:vMerge w:val="continue"/>
            <w:tcBorders>
              <w:top w:val="nil"/>
              <w:left w:val="single" w:color="auto" w:sz="4" w:space="0"/>
            </w:tcBorders>
          </w:tcPr>
          <w:p>
            <w:pPr>
              <w:rPr>
                <w:rFonts w:hint="default" w:ascii="Times New Roman" w:hAnsi="Times New Roman" w:cs="Times New Roman"/>
                <w:color w:val="auto"/>
                <w:sz w:val="2"/>
                <w:szCs w:val="2"/>
                <w:highlight w:val="none"/>
              </w:rPr>
            </w:pPr>
          </w:p>
        </w:tc>
        <w:tc>
          <w:tcPr>
            <w:tcW w:w="2449" w:type="dxa"/>
          </w:tcPr>
          <w:p>
            <w:pPr>
              <w:pStyle w:val="24"/>
              <w:spacing w:before="34"/>
              <w:ind w:left="154" w:right="14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存活率、养护情况</w:t>
            </w:r>
          </w:p>
        </w:tc>
        <w:tc>
          <w:tcPr>
            <w:tcW w:w="2027" w:type="dxa"/>
            <w:vMerge w:val="continue"/>
            <w:tcBorders>
              <w:top w:val="nil"/>
            </w:tcBorders>
          </w:tcPr>
          <w:p>
            <w:pPr>
              <w:rPr>
                <w:rFonts w:hint="default" w:ascii="Times New Roman" w:hAnsi="Times New Roman" w:cs="Times New Roman"/>
                <w:color w:val="auto"/>
                <w:sz w:val="2"/>
                <w:szCs w:val="2"/>
                <w:highlight w:val="none"/>
              </w:rPr>
            </w:pPr>
          </w:p>
        </w:tc>
        <w:tc>
          <w:tcPr>
            <w:tcW w:w="2385" w:type="dxa"/>
            <w:vMerge w:val="continue"/>
            <w:tcBorders>
              <w:top w:val="nil"/>
              <w:right w:val="single" w:color="auto" w:sz="4" w:space="0"/>
            </w:tcBorders>
          </w:tcPr>
          <w:p>
            <w:pPr>
              <w:rPr>
                <w:rFonts w:hint="default" w:ascii="Times New Roman" w:hAnsi="Times New Roman" w:cs="Times New Roman"/>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2426" w:type="dxa"/>
            <w:vMerge w:val="continue"/>
            <w:tcBorders>
              <w:top w:val="nil"/>
              <w:left w:val="single" w:color="auto" w:sz="4" w:space="0"/>
            </w:tcBorders>
          </w:tcPr>
          <w:p>
            <w:pPr>
              <w:rPr>
                <w:rFonts w:hint="default" w:ascii="Times New Roman" w:hAnsi="Times New Roman" w:cs="Times New Roman"/>
                <w:color w:val="auto"/>
                <w:sz w:val="2"/>
                <w:szCs w:val="2"/>
                <w:highlight w:val="none"/>
              </w:rPr>
            </w:pPr>
          </w:p>
        </w:tc>
        <w:tc>
          <w:tcPr>
            <w:tcW w:w="2449" w:type="dxa"/>
          </w:tcPr>
          <w:p>
            <w:pPr>
              <w:pStyle w:val="24"/>
              <w:spacing w:before="33"/>
              <w:ind w:left="153" w:right="14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林草覆盖率</w:t>
            </w:r>
          </w:p>
        </w:tc>
        <w:tc>
          <w:tcPr>
            <w:tcW w:w="2027" w:type="dxa"/>
            <w:vMerge w:val="continue"/>
            <w:tcBorders>
              <w:top w:val="nil"/>
            </w:tcBorders>
          </w:tcPr>
          <w:p>
            <w:pPr>
              <w:rPr>
                <w:rFonts w:hint="default" w:ascii="Times New Roman" w:hAnsi="Times New Roman" w:cs="Times New Roman"/>
                <w:color w:val="auto"/>
                <w:sz w:val="2"/>
                <w:szCs w:val="2"/>
                <w:highlight w:val="none"/>
              </w:rPr>
            </w:pPr>
          </w:p>
        </w:tc>
        <w:tc>
          <w:tcPr>
            <w:tcW w:w="2385" w:type="dxa"/>
            <w:vMerge w:val="continue"/>
            <w:tcBorders>
              <w:top w:val="nil"/>
              <w:right w:val="single" w:color="auto" w:sz="4" w:space="0"/>
            </w:tcBorders>
          </w:tcPr>
          <w:p>
            <w:pPr>
              <w:rPr>
                <w:rFonts w:hint="default" w:ascii="Times New Roman" w:hAnsi="Times New Roman" w:cs="Times New Roman"/>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426" w:type="dxa"/>
            <w:vMerge w:val="continue"/>
            <w:tcBorders>
              <w:top w:val="nil"/>
              <w:left w:val="single" w:color="auto" w:sz="4" w:space="0"/>
              <w:bottom w:val="single" w:color="auto" w:sz="4" w:space="0"/>
            </w:tcBorders>
          </w:tcPr>
          <w:p>
            <w:pPr>
              <w:rPr>
                <w:rFonts w:hint="default" w:ascii="Times New Roman" w:hAnsi="Times New Roman" w:cs="Times New Roman"/>
                <w:color w:val="auto"/>
                <w:sz w:val="2"/>
                <w:szCs w:val="2"/>
                <w:highlight w:val="none"/>
              </w:rPr>
            </w:pPr>
          </w:p>
        </w:tc>
        <w:tc>
          <w:tcPr>
            <w:tcW w:w="2449" w:type="dxa"/>
            <w:tcBorders>
              <w:bottom w:val="single" w:color="auto" w:sz="4" w:space="0"/>
            </w:tcBorders>
          </w:tcPr>
          <w:p>
            <w:pPr>
              <w:pStyle w:val="24"/>
              <w:spacing w:before="34"/>
              <w:ind w:left="154" w:right="14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数量</w:t>
            </w:r>
          </w:p>
        </w:tc>
        <w:tc>
          <w:tcPr>
            <w:tcW w:w="2027" w:type="dxa"/>
            <w:vMerge w:val="continue"/>
            <w:tcBorders>
              <w:top w:val="nil"/>
              <w:bottom w:val="single" w:color="auto" w:sz="4" w:space="0"/>
            </w:tcBorders>
          </w:tcPr>
          <w:p>
            <w:pPr>
              <w:rPr>
                <w:rFonts w:hint="default" w:ascii="Times New Roman" w:hAnsi="Times New Roman" w:cs="Times New Roman"/>
                <w:color w:val="auto"/>
                <w:sz w:val="2"/>
                <w:szCs w:val="2"/>
                <w:highlight w:val="none"/>
              </w:rPr>
            </w:pPr>
          </w:p>
        </w:tc>
        <w:tc>
          <w:tcPr>
            <w:tcW w:w="2385" w:type="dxa"/>
            <w:vMerge w:val="continue"/>
            <w:tcBorders>
              <w:top w:val="nil"/>
              <w:bottom w:val="single" w:color="auto" w:sz="4" w:space="0"/>
              <w:right w:val="single" w:color="auto" w:sz="4" w:space="0"/>
            </w:tcBorders>
          </w:tcPr>
          <w:p>
            <w:pPr>
              <w:rPr>
                <w:rFonts w:hint="default" w:ascii="Times New Roman" w:hAnsi="Times New Roman" w:cs="Times New Roman"/>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2426" w:type="dxa"/>
            <w:vMerge w:val="continue"/>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auto"/>
                <w:sz w:val="2"/>
                <w:szCs w:val="2"/>
                <w:highlight w:val="none"/>
              </w:rPr>
            </w:pPr>
          </w:p>
        </w:tc>
        <w:tc>
          <w:tcPr>
            <w:tcW w:w="2449" w:type="dxa"/>
            <w:tcBorders>
              <w:top w:val="single" w:color="auto" w:sz="4" w:space="0"/>
              <w:left w:val="single" w:color="auto" w:sz="4" w:space="0"/>
              <w:bottom w:val="single" w:color="auto" w:sz="4" w:space="0"/>
              <w:right w:val="single" w:color="auto" w:sz="4" w:space="0"/>
            </w:tcBorders>
          </w:tcPr>
          <w:p>
            <w:pPr>
              <w:pStyle w:val="24"/>
              <w:spacing w:before="34"/>
              <w:ind w:left="154" w:right="14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防治效果</w:t>
            </w:r>
          </w:p>
        </w:tc>
        <w:tc>
          <w:tcPr>
            <w:tcW w:w="2027" w:type="dxa"/>
            <w:vMerge w:val="continue"/>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auto"/>
                <w:sz w:val="2"/>
                <w:szCs w:val="2"/>
                <w:highlight w:val="none"/>
              </w:rPr>
            </w:pPr>
          </w:p>
        </w:tc>
        <w:tc>
          <w:tcPr>
            <w:tcW w:w="2385" w:type="dxa"/>
            <w:vMerge w:val="continue"/>
            <w:tcBorders>
              <w:top w:val="single" w:color="auto" w:sz="4" w:space="0"/>
              <w:left w:val="single" w:color="auto" w:sz="4" w:space="0"/>
              <w:bottom w:val="single" w:color="auto" w:sz="4" w:space="0"/>
              <w:right w:val="single" w:color="auto" w:sz="4" w:space="0"/>
            </w:tcBorders>
          </w:tcPr>
          <w:p>
            <w:pPr>
              <w:rPr>
                <w:rFonts w:hint="default" w:ascii="Times New Roman" w:hAnsi="Times New Roman" w:cs="Times New Roman"/>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44" w:hRule="atLeast"/>
          <w:jc w:val="center"/>
        </w:trPr>
        <w:tc>
          <w:tcPr>
            <w:tcW w:w="2426" w:type="dxa"/>
            <w:tcBorders>
              <w:top w:val="single" w:color="auto" w:sz="4" w:space="0"/>
              <w:left w:val="single" w:color="auto" w:sz="4" w:space="0"/>
              <w:bottom w:val="single" w:color="auto" w:sz="4" w:space="0"/>
              <w:right w:val="single" w:color="auto" w:sz="4" w:space="0"/>
            </w:tcBorders>
          </w:tcPr>
          <w:p>
            <w:pPr>
              <w:pStyle w:val="24"/>
              <w:spacing w:line="269" w:lineRule="exact"/>
              <w:ind w:left="143" w:right="133"/>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对周边水保生态环境发</w:t>
            </w:r>
          </w:p>
          <w:p>
            <w:pPr>
              <w:pStyle w:val="24"/>
              <w:spacing w:before="3" w:line="252" w:lineRule="exact"/>
              <w:ind w:left="143" w:right="133"/>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挥的作用</w:t>
            </w:r>
          </w:p>
        </w:tc>
        <w:tc>
          <w:tcPr>
            <w:tcW w:w="2449" w:type="dxa"/>
            <w:tcBorders>
              <w:top w:val="single" w:color="auto" w:sz="4" w:space="0"/>
              <w:left w:val="single" w:color="auto" w:sz="4" w:space="0"/>
              <w:bottom w:val="single" w:color="auto" w:sz="4" w:space="0"/>
              <w:right w:val="single" w:color="auto" w:sz="4" w:space="0"/>
            </w:tcBorders>
          </w:tcPr>
          <w:p>
            <w:pPr>
              <w:pStyle w:val="24"/>
              <w:spacing w:line="269" w:lineRule="exact"/>
              <w:ind w:left="154" w:right="14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是否出现较大水土流失</w:t>
            </w:r>
          </w:p>
          <w:p>
            <w:pPr>
              <w:pStyle w:val="24"/>
              <w:spacing w:before="3" w:line="252" w:lineRule="exact"/>
              <w:ind w:left="154" w:right="14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事件</w:t>
            </w:r>
          </w:p>
        </w:tc>
        <w:tc>
          <w:tcPr>
            <w:tcW w:w="2027" w:type="dxa"/>
            <w:tcBorders>
              <w:top w:val="single" w:color="auto" w:sz="4" w:space="0"/>
              <w:left w:val="single" w:color="auto" w:sz="4" w:space="0"/>
              <w:bottom w:val="single" w:color="auto" w:sz="4" w:space="0"/>
              <w:right w:val="single" w:color="auto" w:sz="4" w:space="0"/>
            </w:tcBorders>
          </w:tcPr>
          <w:p>
            <w:pPr>
              <w:pStyle w:val="24"/>
              <w:spacing w:before="136"/>
              <w:ind w:left="48" w:right="39"/>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全面调查、重点巡查</w:t>
            </w:r>
          </w:p>
        </w:tc>
        <w:tc>
          <w:tcPr>
            <w:tcW w:w="2385" w:type="dxa"/>
            <w:tcBorders>
              <w:top w:val="single" w:color="auto" w:sz="4" w:space="0"/>
              <w:left w:val="single" w:color="auto" w:sz="4" w:space="0"/>
              <w:bottom w:val="single" w:color="auto" w:sz="4" w:space="0"/>
              <w:right w:val="single" w:color="auto" w:sz="4" w:space="0"/>
            </w:tcBorders>
          </w:tcPr>
          <w:p>
            <w:pPr>
              <w:pStyle w:val="24"/>
              <w:jc w:val="left"/>
              <w:rPr>
                <w:rFonts w:hint="default" w:ascii="Times New Roman" w:hAnsi="Times New Roman" w:cs="Times New Roman"/>
                <w:color w:val="auto"/>
                <w:sz w:val="22"/>
                <w:highlight w:val="none"/>
              </w:rPr>
            </w:pPr>
          </w:p>
        </w:tc>
      </w:tr>
    </w:tbl>
    <w:p>
      <w:pPr>
        <w:pStyle w:val="3"/>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color w:val="auto"/>
          <w:highlight w:val="none"/>
        </w:rPr>
      </w:pPr>
      <w:bookmarkStart w:id="242" w:name="_Toc22959"/>
      <w:bookmarkStart w:id="243" w:name="_Toc11284"/>
      <w:bookmarkStart w:id="244" w:name="_Toc4260"/>
      <w:bookmarkStart w:id="245" w:name="_Toc12003"/>
      <w:r>
        <w:rPr>
          <w:rFonts w:hint="default" w:ascii="Times New Roman" w:hAnsi="Times New Roman" w:cs="Times New Roman"/>
          <w:color w:val="auto"/>
          <w:highlight w:val="none"/>
        </w:rPr>
        <w:t>2.4 水土流失情况</w:t>
      </w:r>
      <w:bookmarkEnd w:id="242"/>
      <w:bookmarkEnd w:id="243"/>
      <w:bookmarkEnd w:id="244"/>
      <w:bookmarkEnd w:id="245"/>
    </w:p>
    <w:p>
      <w:pPr>
        <w:pStyle w:val="8"/>
        <w:keepNext w:val="0"/>
        <w:keepLines w:val="0"/>
        <w:pageBreakBefore w:val="0"/>
        <w:widowControl w:val="0"/>
        <w:kinsoku/>
        <w:wordWrap/>
        <w:overflowPunct/>
        <w:topLinePunct w:val="0"/>
        <w:autoSpaceDE/>
        <w:autoSpaceDN/>
        <w:bidi w:val="0"/>
        <w:adjustRightInd/>
        <w:snapToGrid/>
        <w:spacing w:line="360" w:lineRule="auto"/>
        <w:ind w:right="0" w:firstLine="476"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1"/>
          <w:highlight w:val="none"/>
        </w:rPr>
        <w:t>根据方案报告书，本工程造成的水土流失类型主要为水蚀，工程建设区场地平整、</w:t>
      </w:r>
      <w:r>
        <w:rPr>
          <w:rFonts w:hint="default" w:ascii="Times New Roman" w:hAnsi="Times New Roman" w:cs="Times New Roman"/>
          <w:color w:val="auto"/>
          <w:highlight w:val="none"/>
        </w:rPr>
        <w:t>基坑开挖等扰动地表施工活动引起的水土流失量及变化情况，可通过现场调查对施工期、植被恢复期的水土流失情况进行监测。</w:t>
      </w:r>
    </w:p>
    <w:p>
      <w:pPr>
        <w:pStyle w:val="2"/>
        <w:bidi w:val="0"/>
        <w:spacing w:line="240" w:lineRule="auto"/>
        <w:rPr>
          <w:rFonts w:hint="default" w:ascii="Times New Roman" w:hAnsi="Times New Roman" w:cs="Times New Roman"/>
          <w:color w:val="auto"/>
          <w:highlight w:val="none"/>
          <w:lang w:val="en-US" w:eastAsia="zh-CN"/>
        </w:rPr>
      </w:pPr>
      <w:bookmarkStart w:id="246" w:name="_Toc10930"/>
      <w:bookmarkStart w:id="247" w:name="_Toc14580"/>
      <w:bookmarkStart w:id="248" w:name="_Toc21406"/>
      <w:bookmarkStart w:id="249" w:name="_Toc6723"/>
      <w:r>
        <w:rPr>
          <w:rFonts w:hint="default" w:ascii="Times New Roman" w:hAnsi="Times New Roman" w:cs="Times New Roman"/>
          <w:color w:val="auto"/>
          <w:highlight w:val="none"/>
          <w:lang w:val="en-US" w:eastAsia="zh-CN"/>
        </w:rPr>
        <w:t>3 重点部位水土流失动态监测</w:t>
      </w:r>
      <w:bookmarkEnd w:id="246"/>
      <w:bookmarkEnd w:id="247"/>
      <w:bookmarkEnd w:id="248"/>
      <w:bookmarkEnd w:id="249"/>
    </w:p>
    <w:p>
      <w:pPr>
        <w:pStyle w:val="3"/>
        <w:bidi w:val="0"/>
        <w:spacing w:line="240" w:lineRule="auto"/>
        <w:rPr>
          <w:rFonts w:hint="default" w:ascii="Times New Roman" w:hAnsi="Times New Roman" w:cs="Times New Roman"/>
          <w:color w:val="auto"/>
          <w:highlight w:val="none"/>
          <w:lang w:val="en-US" w:eastAsia="zh-CN"/>
        </w:rPr>
      </w:pPr>
      <w:bookmarkStart w:id="250" w:name="_Toc1267"/>
      <w:bookmarkStart w:id="251" w:name="_Toc2262"/>
      <w:bookmarkStart w:id="252" w:name="_Toc15069"/>
      <w:bookmarkStart w:id="253" w:name="_Toc13545"/>
      <w:r>
        <w:rPr>
          <w:rFonts w:hint="default" w:ascii="Times New Roman" w:hAnsi="Times New Roman" w:cs="Times New Roman"/>
          <w:color w:val="auto"/>
          <w:highlight w:val="none"/>
          <w:lang w:val="en-US" w:eastAsia="zh-CN"/>
        </w:rPr>
        <w:t>3.1 防治责任范围监测</w:t>
      </w:r>
      <w:bookmarkEnd w:id="250"/>
      <w:bookmarkEnd w:id="251"/>
      <w:bookmarkEnd w:id="252"/>
      <w:bookmarkEnd w:id="253"/>
    </w:p>
    <w:p>
      <w:pPr>
        <w:pStyle w:val="4"/>
        <w:bidi w:val="0"/>
        <w:spacing w:line="240" w:lineRule="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3.1.1 水土保持防治责任范围</w:t>
      </w:r>
    </w:p>
    <w:p>
      <w:pPr>
        <w:keepNext w:val="0"/>
        <w:keepLines w:val="0"/>
        <w:pageBreakBefore w:val="0"/>
        <w:widowControl w:val="0"/>
        <w:kinsoku/>
        <w:wordWrap/>
        <w:overflowPunct/>
        <w:topLinePunct w:val="0"/>
        <w:autoSpaceDE/>
        <w:autoSpaceDN/>
        <w:bidi w:val="0"/>
        <w:adjustRightInd/>
        <w:snapToGrid/>
        <w:spacing w:line="360" w:lineRule="auto"/>
        <w:ind w:firstLine="46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5"/>
          <w:highlight w:val="none"/>
        </w:rPr>
        <w:t>批复的方案报告书中，本工程建设项目包括：</w:t>
      </w:r>
      <w:r>
        <w:rPr>
          <w:rFonts w:hint="default" w:ascii="Times New Roman" w:hAnsi="Times New Roman" w:cs="Times New Roman"/>
          <w:color w:val="auto"/>
          <w:spacing w:val="-5"/>
          <w:highlight w:val="none"/>
          <w:lang w:val="en-US" w:eastAsia="zh-CN"/>
        </w:rPr>
        <w:t>道路工程、给排水及防护工程、电力工程及绿化工程</w:t>
      </w:r>
      <w:r>
        <w:rPr>
          <w:rFonts w:hint="default" w:ascii="Times New Roman" w:hAnsi="Times New Roman" w:cs="Times New Roman"/>
          <w:color w:val="auto"/>
          <w:spacing w:val="-7"/>
          <w:highlight w:val="none"/>
        </w:rPr>
        <w:t>等。工程水土流失</w:t>
      </w:r>
      <w:r>
        <w:rPr>
          <w:rFonts w:hint="default" w:ascii="Times New Roman" w:hAnsi="Times New Roman" w:cs="Times New Roman"/>
          <w:color w:val="auto"/>
          <w:spacing w:val="-3"/>
          <w:highlight w:val="none"/>
        </w:rPr>
        <w:t>防治责任范围为</w:t>
      </w:r>
      <w:r>
        <w:rPr>
          <w:rFonts w:hint="default" w:ascii="Times New Roman" w:hAnsi="Times New Roman" w:cs="Times New Roman"/>
          <w:color w:val="auto"/>
          <w:spacing w:val="-3"/>
          <w:highlight w:val="none"/>
          <w:lang w:val="en-US" w:eastAsia="zh-CN"/>
        </w:rPr>
        <w:t>9.27</w:t>
      </w:r>
      <w:r>
        <w:rPr>
          <w:rFonts w:hint="default" w:ascii="Times New Roman" w:hAnsi="Times New Roman" w:cs="Times New Roman"/>
          <w:color w:val="auto"/>
          <w:spacing w:val="-3"/>
          <w:highlight w:val="none"/>
        </w:rPr>
        <w:t xml:space="preserve"> </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rPr>
        <w:t>，根据水土保持监测现场量测和</w:t>
      </w:r>
      <w:r>
        <w:rPr>
          <w:rFonts w:hint="default" w:ascii="Times New Roman" w:hAnsi="Times New Roman" w:cs="Times New Roman"/>
          <w:color w:val="auto"/>
          <w:spacing w:val="-1"/>
          <w:highlight w:val="none"/>
          <w:lang w:val="en-US" w:eastAsia="zh-CN"/>
        </w:rPr>
        <w:t>衡阳市城市建设投资有限公司</w:t>
      </w:r>
      <w:r>
        <w:rPr>
          <w:rFonts w:hint="default" w:ascii="Times New Roman" w:hAnsi="Times New Roman" w:cs="Times New Roman"/>
          <w:color w:val="auto"/>
          <w:spacing w:val="-1"/>
          <w:highlight w:val="none"/>
        </w:rPr>
        <w:t>提</w:t>
      </w:r>
      <w:r>
        <w:rPr>
          <w:rFonts w:hint="default" w:ascii="Times New Roman" w:hAnsi="Times New Roman" w:cs="Times New Roman"/>
          <w:color w:val="auto"/>
          <w:spacing w:val="-3"/>
          <w:highlight w:val="none"/>
        </w:rPr>
        <w:t>供的用地文件等相关资料，本工程实际水土流失防治责任范围为</w:t>
      </w:r>
      <w:r>
        <w:rPr>
          <w:rFonts w:hint="default" w:ascii="Times New Roman" w:hAnsi="Times New Roman" w:cs="Times New Roman"/>
          <w:color w:val="auto"/>
          <w:spacing w:val="-3"/>
          <w:highlight w:val="none"/>
          <w:lang w:val="en-US" w:eastAsia="zh-CN"/>
        </w:rPr>
        <w:t>8.51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项目区防治责任范围</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分区</w:t>
            </w:r>
          </w:p>
        </w:tc>
        <w:tc>
          <w:tcPr>
            <w:tcW w:w="639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防治责任范围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方案报告书</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实际施工</w:t>
            </w:r>
          </w:p>
        </w:tc>
        <w:tc>
          <w:tcPr>
            <w:tcW w:w="213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增减情况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项目建设区</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项目建设区</w:t>
            </w:r>
          </w:p>
        </w:tc>
        <w:tc>
          <w:tcPr>
            <w:tcW w:w="213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3.80</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3.75</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附属设施区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弃渣场区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0.10</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施工生产生活区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0.20</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0.20</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临时堆土区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小计</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直接影响区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0.76</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合计</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9.27</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0.76</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主要变化原因如下：</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highlight w:val="none"/>
          <w:lang w:val="en-US" w:eastAsia="zh-CN"/>
        </w:rPr>
        <w:t>主体工程区：主体实际施工与与前期设计基本一致，未有较大变化，因此，主体工程区占地与方案阶段基本一致，减少0.05</w:t>
      </w:r>
      <w:r>
        <w:rPr>
          <w:rFonts w:hint="default" w:ascii="Times New Roman" w:hAnsi="Times New Roman" w:cs="Times New Roman"/>
          <w:color w:val="auto"/>
          <w:spacing w:val="-3"/>
          <w:highlight w:val="none"/>
        </w:rPr>
        <w:t xml:space="preserve"> </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预留发展用地征地。</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76"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spacing w:val="-1"/>
          <w:highlight w:val="none"/>
          <w:lang w:val="en-US" w:eastAsia="zh-CN"/>
        </w:rPr>
        <w:t>附属设施区：原水保方案设计附属设施区施工1.41</w:t>
      </w:r>
      <w:r>
        <w:rPr>
          <w:rFonts w:hint="default" w:ascii="Times New Roman" w:hAnsi="Times New Roman" w:cs="Times New Roman"/>
          <w:color w:val="auto"/>
          <w:spacing w:val="-3"/>
          <w:highlight w:val="none"/>
        </w:rPr>
        <w:t xml:space="preserve"> </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。实际施工过程中，附属建设区为1.41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76"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spacing w:val="-1"/>
          <w:highlight w:val="none"/>
          <w:lang w:val="en-US" w:eastAsia="zh-CN"/>
        </w:rPr>
        <w:t>弃渣场区：原水保方案设计弃渣场区占地0.84</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实际施工中占地0.84</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较方案相比，未发生重大变化。</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76"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spacing w:val="-1"/>
          <w:highlight w:val="none"/>
          <w:lang w:val="en-US" w:eastAsia="zh-CN"/>
        </w:rPr>
        <w:t>取土场区：原水保方案设计取土场区2</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，实际施工中占地2</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76"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spacing w:val="-1"/>
          <w:highlight w:val="none"/>
          <w:lang w:val="en-US" w:eastAsia="zh-CN"/>
        </w:rPr>
        <w:t>施工便道区：原水保方案设计施工道路占地0.05</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，实际施工占地0.1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76"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spacing w:val="-1"/>
          <w:highlight w:val="none"/>
          <w:lang w:val="en-US" w:eastAsia="zh-CN"/>
        </w:rPr>
        <w:t>临时堆土区：原水保方案设计临时堆土占地0.21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，实际施工中占地0.21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，较方案相比未发生重大变化。</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76"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spacing w:val="-1"/>
          <w:highlight w:val="none"/>
          <w:lang w:val="en-US" w:eastAsia="zh-CN"/>
        </w:rPr>
        <w:t>直接影响区：</w:t>
      </w:r>
      <w:r>
        <w:rPr>
          <w:rFonts w:hint="default" w:ascii="Times New Roman" w:hAnsi="Times New Roman" w:cs="Times New Roman"/>
          <w:color w:val="auto"/>
          <w:spacing w:val="-7"/>
          <w:sz w:val="24"/>
          <w:highlight w:val="none"/>
        </w:rPr>
        <w:t>方案设计阶段直接影响区包括主体工程区和进场道路区直接影</w:t>
      </w:r>
      <w:r>
        <w:rPr>
          <w:rFonts w:hint="default" w:ascii="Times New Roman" w:hAnsi="Times New Roman" w:cs="Times New Roman"/>
          <w:color w:val="auto"/>
          <w:spacing w:val="-8"/>
          <w:sz w:val="24"/>
          <w:highlight w:val="none"/>
        </w:rPr>
        <w:t>响区，实际施工过程中，本工程场坪施工由当地政府负责，建设单位只对用地红线范围</w:t>
      </w:r>
      <w:r>
        <w:rPr>
          <w:rFonts w:hint="default" w:ascii="Times New Roman" w:hAnsi="Times New Roman" w:cs="Times New Roman"/>
          <w:color w:val="auto"/>
          <w:spacing w:val="-4"/>
          <w:sz w:val="24"/>
          <w:highlight w:val="none"/>
        </w:rPr>
        <w:t>内厂区土地进行扰动，不存在直接影响区。</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3.1.2 建设期扰土面积</w:t>
      </w:r>
    </w:p>
    <w:p>
      <w:pPr>
        <w:pStyle w:val="8"/>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根据建设单位用地文件，结合施工和监理单位资料，建设期工程实际发生的扰动土地面积 </w:t>
      </w:r>
      <w:r>
        <w:rPr>
          <w:rFonts w:hint="default" w:ascii="Times New Roman" w:hAnsi="Times New Roman" w:cs="Times New Roman"/>
          <w:color w:val="auto"/>
          <w:highlight w:val="none"/>
          <w:lang w:val="en-US" w:eastAsia="zh-CN"/>
        </w:rPr>
        <w:t>8.51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highlight w:val="none"/>
        </w:rPr>
        <w:t>。</w:t>
      </w:r>
    </w:p>
    <w:p>
      <w:pPr>
        <w:pStyle w:val="8"/>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lang w:val="en-US" w:eastAsia="zh-CN"/>
        </w:rPr>
        <w:t>根据项目施工进度，本项目扰土面积情况如下：</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3"/>
        <w:gridCol w:w="852"/>
        <w:gridCol w:w="893"/>
        <w:gridCol w:w="1188"/>
        <w:gridCol w:w="1189"/>
        <w:gridCol w:w="1045"/>
        <w:gridCol w:w="1046"/>
        <w:gridCol w:w="10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35" w:hRule="atLeast"/>
          <w:jc w:val="center"/>
        </w:trPr>
        <w:tc>
          <w:tcPr>
            <w:tcW w:w="1423" w:type="dxa"/>
            <w:vMerge w:val="restart"/>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分区</w:t>
            </w:r>
          </w:p>
        </w:tc>
        <w:tc>
          <w:tcPr>
            <w:tcW w:w="852" w:type="dxa"/>
            <w:vMerge w:val="restart"/>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占地面积</w:t>
            </w:r>
          </w:p>
        </w:tc>
        <w:tc>
          <w:tcPr>
            <w:tcW w:w="893" w:type="dxa"/>
            <w:vMerge w:val="restart"/>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扰动面积</w:t>
            </w:r>
          </w:p>
        </w:tc>
        <w:tc>
          <w:tcPr>
            <w:tcW w:w="4468" w:type="dxa"/>
            <w:gridSpan w:val="4"/>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扰动土地治理面积</w:t>
            </w:r>
          </w:p>
        </w:tc>
        <w:tc>
          <w:tcPr>
            <w:tcW w:w="1065" w:type="dxa"/>
            <w:vMerge w:val="restart"/>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扰动土地整治率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3" w:type="dxa"/>
            <w:vMerge w:val="continue"/>
            <w:vAlign w:val="center"/>
          </w:tcPr>
          <w:p>
            <w:pPr>
              <w:bidi w:val="0"/>
              <w:jc w:val="center"/>
              <w:rPr>
                <w:rFonts w:hint="default" w:ascii="Times New Roman" w:hAnsi="Times New Roman" w:eastAsia="仿宋" w:cs="Times New Roman"/>
                <w:color w:val="auto"/>
                <w:sz w:val="21"/>
                <w:szCs w:val="21"/>
                <w:highlight w:val="none"/>
              </w:rPr>
            </w:pPr>
          </w:p>
        </w:tc>
        <w:tc>
          <w:tcPr>
            <w:tcW w:w="852" w:type="dxa"/>
            <w:vMerge w:val="continue"/>
            <w:vAlign w:val="center"/>
          </w:tcPr>
          <w:p>
            <w:pPr>
              <w:bidi w:val="0"/>
              <w:jc w:val="center"/>
              <w:rPr>
                <w:rFonts w:hint="default" w:ascii="Times New Roman" w:hAnsi="Times New Roman" w:eastAsia="仿宋" w:cs="Times New Roman"/>
                <w:color w:val="auto"/>
                <w:sz w:val="21"/>
                <w:szCs w:val="21"/>
                <w:highlight w:val="none"/>
              </w:rPr>
            </w:pPr>
          </w:p>
        </w:tc>
        <w:tc>
          <w:tcPr>
            <w:tcW w:w="893" w:type="dxa"/>
            <w:vMerge w:val="continue"/>
            <w:vAlign w:val="center"/>
          </w:tcPr>
          <w:p>
            <w:pPr>
              <w:bidi w:val="0"/>
              <w:jc w:val="center"/>
              <w:rPr>
                <w:rFonts w:hint="default" w:ascii="Times New Roman" w:hAnsi="Times New Roman" w:eastAsia="仿宋" w:cs="Times New Roman"/>
                <w:color w:val="auto"/>
                <w:sz w:val="21"/>
                <w:szCs w:val="21"/>
                <w:highlight w:val="none"/>
              </w:rPr>
            </w:pPr>
          </w:p>
        </w:tc>
        <w:tc>
          <w:tcPr>
            <w:tcW w:w="1188"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植物措施</w:t>
            </w:r>
          </w:p>
        </w:tc>
        <w:tc>
          <w:tcPr>
            <w:tcW w:w="1189"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工程措施</w:t>
            </w:r>
          </w:p>
        </w:tc>
        <w:tc>
          <w:tcPr>
            <w:tcW w:w="1045"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建筑物及场地硬化面积</w:t>
            </w:r>
          </w:p>
        </w:tc>
        <w:tc>
          <w:tcPr>
            <w:tcW w:w="1046"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小计</w:t>
            </w:r>
          </w:p>
        </w:tc>
        <w:tc>
          <w:tcPr>
            <w:tcW w:w="1065" w:type="dxa"/>
            <w:vMerge w:val="continue"/>
            <w:vAlign w:val="center"/>
          </w:tcPr>
          <w:p>
            <w:pPr>
              <w:bidi w:val="0"/>
              <w:jc w:val="center"/>
              <w:rPr>
                <w:rFonts w:hint="default" w:ascii="Times New Roman" w:hAnsi="Times New Roman" w:eastAsia="仿宋" w:cs="Times New Roman"/>
                <w:color w:val="auto"/>
                <w:sz w:val="21"/>
                <w:szCs w:val="21"/>
                <w:highlight w:val="no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主体工程区</w:t>
            </w:r>
          </w:p>
        </w:tc>
        <w:tc>
          <w:tcPr>
            <w:tcW w:w="852"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3.80</w:t>
            </w:r>
          </w:p>
        </w:tc>
        <w:tc>
          <w:tcPr>
            <w:tcW w:w="89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3.80</w:t>
            </w:r>
          </w:p>
        </w:tc>
        <w:tc>
          <w:tcPr>
            <w:tcW w:w="1188"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0.60</w:t>
            </w:r>
          </w:p>
        </w:tc>
        <w:tc>
          <w:tcPr>
            <w:tcW w:w="1189" w:type="dxa"/>
            <w:vAlign w:val="center"/>
          </w:tcPr>
          <w:p>
            <w:pPr>
              <w:pStyle w:val="24"/>
              <w:spacing w:line="240" w:lineRule="exact"/>
              <w:ind w:left="304" w:leftChars="0" w:right="299"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1045" w:type="dxa"/>
            <w:vAlign w:val="center"/>
          </w:tcPr>
          <w:p>
            <w:pPr>
              <w:pStyle w:val="24"/>
              <w:spacing w:line="240" w:lineRule="exact"/>
              <w:ind w:left="328"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3.20</w:t>
            </w:r>
          </w:p>
        </w:tc>
        <w:tc>
          <w:tcPr>
            <w:tcW w:w="1046" w:type="dxa"/>
            <w:vAlign w:val="center"/>
          </w:tcPr>
          <w:p>
            <w:pPr>
              <w:pStyle w:val="24"/>
              <w:spacing w:line="240" w:lineRule="exact"/>
              <w:ind w:left="329"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3.78</w:t>
            </w:r>
          </w:p>
        </w:tc>
        <w:tc>
          <w:tcPr>
            <w:tcW w:w="1065" w:type="dxa"/>
            <w:vAlign w:val="center"/>
          </w:tcPr>
          <w:p>
            <w:pPr>
              <w:pStyle w:val="24"/>
              <w:spacing w:line="240" w:lineRule="exact"/>
              <w:ind w:right="186"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99.47%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附属设施</w:t>
            </w:r>
            <w:r>
              <w:rPr>
                <w:rFonts w:hint="default" w:ascii="Times New Roman" w:hAnsi="Times New Roman" w:eastAsia="仿宋" w:cs="Times New Roman"/>
                <w:color w:val="auto"/>
                <w:sz w:val="21"/>
                <w:szCs w:val="21"/>
                <w:highlight w:val="none"/>
                <w:lang w:val="en-US" w:eastAsia="zh-CN"/>
              </w:rPr>
              <w:t>区</w:t>
            </w:r>
          </w:p>
        </w:tc>
        <w:tc>
          <w:tcPr>
            <w:tcW w:w="852"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1.41</w:t>
            </w:r>
          </w:p>
        </w:tc>
        <w:tc>
          <w:tcPr>
            <w:tcW w:w="89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1.41</w:t>
            </w:r>
          </w:p>
        </w:tc>
        <w:tc>
          <w:tcPr>
            <w:tcW w:w="1188"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1.34</w:t>
            </w:r>
          </w:p>
        </w:tc>
        <w:tc>
          <w:tcPr>
            <w:tcW w:w="1189" w:type="dxa"/>
            <w:vAlign w:val="center"/>
          </w:tcPr>
          <w:p>
            <w:pPr>
              <w:pStyle w:val="24"/>
              <w:jc w:val="center"/>
              <w:rPr>
                <w:rFonts w:hint="default" w:ascii="Times New Roman" w:hAnsi="Times New Roman" w:eastAsia="仿宋" w:cs="Times New Roman"/>
                <w:color w:val="auto"/>
                <w:kern w:val="2"/>
                <w:sz w:val="20"/>
                <w:szCs w:val="24"/>
                <w:highlight w:val="none"/>
                <w:lang w:val="en-US" w:eastAsia="zh-CN" w:bidi="zh-CN"/>
              </w:rPr>
            </w:pPr>
            <w:r>
              <w:rPr>
                <w:rFonts w:hint="default" w:ascii="Times New Roman" w:hAnsi="Times New Roman" w:cs="Times New Roman"/>
                <w:color w:val="auto"/>
                <w:sz w:val="20"/>
                <w:highlight w:val="none"/>
                <w:lang w:val="en-US" w:eastAsia="zh-CN"/>
              </w:rPr>
              <w:t>0.03</w:t>
            </w:r>
          </w:p>
        </w:tc>
        <w:tc>
          <w:tcPr>
            <w:tcW w:w="1045" w:type="dxa"/>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0.03</w:t>
            </w:r>
          </w:p>
        </w:tc>
        <w:tc>
          <w:tcPr>
            <w:tcW w:w="1046" w:type="dxa"/>
            <w:vAlign w:val="center"/>
          </w:tcPr>
          <w:p>
            <w:pPr>
              <w:pStyle w:val="24"/>
              <w:spacing w:line="241" w:lineRule="exact"/>
              <w:ind w:left="329"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1.41</w:t>
            </w:r>
          </w:p>
        </w:tc>
        <w:tc>
          <w:tcPr>
            <w:tcW w:w="1065" w:type="dxa"/>
            <w:vAlign w:val="center"/>
          </w:tcPr>
          <w:p>
            <w:pPr>
              <w:pStyle w:val="24"/>
              <w:spacing w:line="241" w:lineRule="exact"/>
              <w:ind w:right="186"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弃渣场区</w:t>
            </w:r>
          </w:p>
        </w:tc>
        <w:tc>
          <w:tcPr>
            <w:tcW w:w="852" w:type="dxa"/>
            <w:vAlign w:val="center"/>
          </w:tcPr>
          <w:p>
            <w:pPr>
              <w:bidi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0.84</w:t>
            </w:r>
          </w:p>
        </w:tc>
        <w:tc>
          <w:tcPr>
            <w:tcW w:w="893" w:type="dxa"/>
            <w:vAlign w:val="center"/>
          </w:tcPr>
          <w:p>
            <w:pPr>
              <w:bidi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0.84</w:t>
            </w:r>
          </w:p>
        </w:tc>
        <w:tc>
          <w:tcPr>
            <w:tcW w:w="1188"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0.81</w:t>
            </w:r>
          </w:p>
        </w:tc>
        <w:tc>
          <w:tcPr>
            <w:tcW w:w="1189" w:type="dxa"/>
            <w:vAlign w:val="center"/>
          </w:tcPr>
          <w:p>
            <w:pPr>
              <w:pStyle w:val="24"/>
              <w:jc w:val="center"/>
              <w:rPr>
                <w:rFonts w:hint="default" w:ascii="Times New Roman" w:hAnsi="Times New Roman" w:eastAsia="仿宋" w:cs="Times New Roman"/>
                <w:color w:val="auto"/>
                <w:kern w:val="2"/>
                <w:sz w:val="20"/>
                <w:szCs w:val="24"/>
                <w:highlight w:val="none"/>
                <w:lang w:val="en-US" w:eastAsia="zh-CN" w:bidi="zh-CN"/>
              </w:rPr>
            </w:pPr>
            <w:r>
              <w:rPr>
                <w:rFonts w:hint="default" w:ascii="Times New Roman" w:hAnsi="Times New Roman" w:cs="Times New Roman"/>
                <w:color w:val="auto"/>
                <w:sz w:val="20"/>
                <w:highlight w:val="none"/>
                <w:lang w:val="en-US" w:eastAsia="zh-CN"/>
              </w:rPr>
              <w:t>0.02</w:t>
            </w:r>
          </w:p>
        </w:tc>
        <w:tc>
          <w:tcPr>
            <w:tcW w:w="1045" w:type="dxa"/>
            <w:vAlign w:val="center"/>
          </w:tcPr>
          <w:p>
            <w:pPr>
              <w:pStyle w:val="24"/>
              <w:spacing w:line="240"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1046" w:type="dxa"/>
            <w:vAlign w:val="center"/>
          </w:tcPr>
          <w:p>
            <w:pPr>
              <w:pStyle w:val="24"/>
              <w:spacing w:line="240" w:lineRule="exact"/>
              <w:ind w:left="329"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0.84</w:t>
            </w:r>
          </w:p>
        </w:tc>
        <w:tc>
          <w:tcPr>
            <w:tcW w:w="1065" w:type="dxa"/>
            <w:vAlign w:val="center"/>
          </w:tcPr>
          <w:p>
            <w:pPr>
              <w:pStyle w:val="24"/>
              <w:spacing w:line="240" w:lineRule="exact"/>
              <w:ind w:right="186"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取土场区</w:t>
            </w:r>
          </w:p>
        </w:tc>
        <w:tc>
          <w:tcPr>
            <w:tcW w:w="852" w:type="dxa"/>
            <w:vAlign w:val="center"/>
          </w:tcPr>
          <w:p>
            <w:pPr>
              <w:bidi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2.00</w:t>
            </w:r>
          </w:p>
        </w:tc>
        <w:tc>
          <w:tcPr>
            <w:tcW w:w="893" w:type="dxa"/>
            <w:vAlign w:val="center"/>
          </w:tcPr>
          <w:p>
            <w:pPr>
              <w:bidi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2.00</w:t>
            </w:r>
          </w:p>
        </w:tc>
        <w:tc>
          <w:tcPr>
            <w:tcW w:w="1188"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1.93</w:t>
            </w:r>
          </w:p>
        </w:tc>
        <w:tc>
          <w:tcPr>
            <w:tcW w:w="1189" w:type="dxa"/>
            <w:vAlign w:val="center"/>
          </w:tcPr>
          <w:p>
            <w:pPr>
              <w:pStyle w:val="24"/>
              <w:spacing w:line="240" w:lineRule="exact"/>
              <w:ind w:left="306" w:leftChars="0" w:right="299"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0.04</w:t>
            </w:r>
          </w:p>
        </w:tc>
        <w:tc>
          <w:tcPr>
            <w:tcW w:w="1045" w:type="dxa"/>
            <w:vAlign w:val="center"/>
          </w:tcPr>
          <w:p>
            <w:pPr>
              <w:pStyle w:val="24"/>
              <w:spacing w:line="240"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1046" w:type="dxa"/>
            <w:vAlign w:val="center"/>
          </w:tcPr>
          <w:p>
            <w:pPr>
              <w:pStyle w:val="24"/>
              <w:spacing w:line="240" w:lineRule="exact"/>
              <w:ind w:left="329"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2.00</w:t>
            </w:r>
          </w:p>
        </w:tc>
        <w:tc>
          <w:tcPr>
            <w:tcW w:w="1065" w:type="dxa"/>
            <w:vAlign w:val="center"/>
          </w:tcPr>
          <w:p>
            <w:pPr>
              <w:pStyle w:val="24"/>
              <w:spacing w:line="240" w:lineRule="exact"/>
              <w:ind w:right="186"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施工便道区</w:t>
            </w:r>
          </w:p>
        </w:tc>
        <w:tc>
          <w:tcPr>
            <w:tcW w:w="852" w:type="dxa"/>
            <w:vAlign w:val="center"/>
          </w:tcPr>
          <w:p>
            <w:pPr>
              <w:bidi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0.05</w:t>
            </w:r>
          </w:p>
        </w:tc>
        <w:tc>
          <w:tcPr>
            <w:tcW w:w="893" w:type="dxa"/>
            <w:vAlign w:val="center"/>
          </w:tcPr>
          <w:p>
            <w:pPr>
              <w:bidi w:val="0"/>
              <w:jc w:val="center"/>
              <w:rPr>
                <w:rFonts w:hint="default" w:ascii="Times New Roman" w:hAnsi="Times New Roman"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0.05</w:t>
            </w:r>
          </w:p>
        </w:tc>
        <w:tc>
          <w:tcPr>
            <w:tcW w:w="1188"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0.05</w:t>
            </w:r>
          </w:p>
        </w:tc>
        <w:tc>
          <w:tcPr>
            <w:tcW w:w="118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1045" w:type="dxa"/>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1046" w:type="dxa"/>
            <w:vAlign w:val="center"/>
          </w:tcPr>
          <w:p>
            <w:pPr>
              <w:pStyle w:val="24"/>
              <w:spacing w:line="241" w:lineRule="exact"/>
              <w:ind w:left="329"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0.05</w:t>
            </w:r>
          </w:p>
        </w:tc>
        <w:tc>
          <w:tcPr>
            <w:tcW w:w="1065" w:type="dxa"/>
            <w:vAlign w:val="center"/>
          </w:tcPr>
          <w:p>
            <w:pPr>
              <w:pStyle w:val="24"/>
              <w:spacing w:line="241" w:lineRule="exact"/>
              <w:ind w:right="186"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施工生产生活区</w:t>
            </w:r>
          </w:p>
        </w:tc>
        <w:tc>
          <w:tcPr>
            <w:tcW w:w="852"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0.20</w:t>
            </w:r>
          </w:p>
        </w:tc>
        <w:tc>
          <w:tcPr>
            <w:tcW w:w="89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0.20</w:t>
            </w:r>
          </w:p>
        </w:tc>
        <w:tc>
          <w:tcPr>
            <w:tcW w:w="1188"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0.20</w:t>
            </w:r>
          </w:p>
        </w:tc>
        <w:tc>
          <w:tcPr>
            <w:tcW w:w="118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1045" w:type="dxa"/>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1046" w:type="dxa"/>
            <w:vAlign w:val="center"/>
          </w:tcPr>
          <w:p>
            <w:pPr>
              <w:pStyle w:val="24"/>
              <w:spacing w:line="241" w:lineRule="exact"/>
              <w:ind w:left="329"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0.20</w:t>
            </w:r>
          </w:p>
        </w:tc>
        <w:tc>
          <w:tcPr>
            <w:tcW w:w="1065" w:type="dxa"/>
            <w:vAlign w:val="center"/>
          </w:tcPr>
          <w:p>
            <w:pPr>
              <w:pStyle w:val="24"/>
              <w:spacing w:line="241" w:lineRule="exact"/>
              <w:ind w:right="186"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临时堆土区</w:t>
            </w:r>
            <w:r>
              <w:rPr>
                <w:rFonts w:hint="default" w:ascii="Times New Roman" w:hAnsi="Times New Roman" w:eastAsia="仿宋" w:cs="Times New Roman"/>
                <w:color w:val="auto"/>
                <w:sz w:val="21"/>
                <w:szCs w:val="21"/>
                <w:highlight w:val="none"/>
                <w:lang w:val="en-US" w:eastAsia="zh-CN"/>
              </w:rPr>
              <w:t>区</w:t>
            </w:r>
          </w:p>
        </w:tc>
        <w:tc>
          <w:tcPr>
            <w:tcW w:w="852"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0.21</w:t>
            </w:r>
          </w:p>
        </w:tc>
        <w:tc>
          <w:tcPr>
            <w:tcW w:w="89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0.21</w:t>
            </w:r>
          </w:p>
        </w:tc>
        <w:tc>
          <w:tcPr>
            <w:tcW w:w="1188"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0.21</w:t>
            </w:r>
          </w:p>
        </w:tc>
        <w:tc>
          <w:tcPr>
            <w:tcW w:w="118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1045" w:type="dxa"/>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1046" w:type="dxa"/>
            <w:vAlign w:val="center"/>
          </w:tcPr>
          <w:p>
            <w:pPr>
              <w:pStyle w:val="24"/>
              <w:spacing w:line="241" w:lineRule="exact"/>
              <w:ind w:left="329"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0.21</w:t>
            </w:r>
          </w:p>
        </w:tc>
        <w:tc>
          <w:tcPr>
            <w:tcW w:w="1065" w:type="dxa"/>
            <w:vAlign w:val="center"/>
          </w:tcPr>
          <w:p>
            <w:pPr>
              <w:pStyle w:val="24"/>
              <w:spacing w:line="241" w:lineRule="exact"/>
              <w:ind w:right="186"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eastAsia="仿宋" w:cs="Times New Roman"/>
                <w:color w:val="auto"/>
                <w:sz w:val="21"/>
                <w:szCs w:val="21"/>
                <w:highlight w:val="none"/>
                <w:lang w:val="en-US" w:eastAsia="zh-CN"/>
              </w:rPr>
              <w:t>总计</w:t>
            </w:r>
          </w:p>
        </w:tc>
        <w:tc>
          <w:tcPr>
            <w:tcW w:w="852"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8.51</w:t>
            </w:r>
          </w:p>
        </w:tc>
        <w:tc>
          <w:tcPr>
            <w:tcW w:w="893" w:type="dxa"/>
            <w:vAlign w:val="center"/>
          </w:tcPr>
          <w:p>
            <w:pPr>
              <w:bidi w:val="0"/>
              <w:jc w:val="center"/>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8.51</w:t>
            </w:r>
          </w:p>
        </w:tc>
        <w:tc>
          <w:tcPr>
            <w:tcW w:w="1188"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5.13</w:t>
            </w:r>
          </w:p>
        </w:tc>
        <w:tc>
          <w:tcPr>
            <w:tcW w:w="118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0.09</w:t>
            </w:r>
          </w:p>
        </w:tc>
        <w:tc>
          <w:tcPr>
            <w:tcW w:w="1045" w:type="dxa"/>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2.66</w:t>
            </w:r>
          </w:p>
        </w:tc>
        <w:tc>
          <w:tcPr>
            <w:tcW w:w="1046" w:type="dxa"/>
            <w:vAlign w:val="center"/>
          </w:tcPr>
          <w:p>
            <w:pPr>
              <w:pStyle w:val="24"/>
              <w:spacing w:line="241" w:lineRule="exact"/>
              <w:ind w:left="329"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8.49</w:t>
            </w:r>
          </w:p>
        </w:tc>
        <w:tc>
          <w:tcPr>
            <w:tcW w:w="1065" w:type="dxa"/>
            <w:vAlign w:val="center"/>
          </w:tcPr>
          <w:p>
            <w:pPr>
              <w:pStyle w:val="24"/>
              <w:spacing w:line="241" w:lineRule="exact"/>
              <w:ind w:right="186"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99.92%</w:t>
            </w:r>
          </w:p>
        </w:tc>
      </w:tr>
    </w:tbl>
    <w:p>
      <w:pPr>
        <w:pStyle w:val="27"/>
        <w:spacing w:before="0" w:after="0" w:line="360" w:lineRule="auto"/>
        <w:ind w:firstLine="0"/>
        <w:jc w:val="both"/>
        <w:rPr>
          <w:rFonts w:hint="default" w:ascii="Times New Roman" w:hAnsi="Times New Roman" w:cs="Times New Roman"/>
          <w:color w:val="auto"/>
          <w:highlight w:val="none"/>
        </w:rPr>
      </w:pPr>
    </w:p>
    <w:p>
      <w:pPr>
        <w:pStyle w:val="3"/>
        <w:bidi w:val="0"/>
        <w:rPr>
          <w:rFonts w:hint="default" w:ascii="Times New Roman" w:hAnsi="Times New Roman" w:cs="Times New Roman"/>
          <w:color w:val="auto"/>
          <w:highlight w:val="none"/>
          <w:lang w:val="en-US" w:eastAsia="zh-CN"/>
        </w:rPr>
      </w:pPr>
      <w:bookmarkStart w:id="254" w:name="_Toc2062"/>
      <w:bookmarkStart w:id="255" w:name="_Toc32590"/>
      <w:bookmarkStart w:id="256" w:name="_Toc21287"/>
      <w:bookmarkStart w:id="257" w:name="_Toc11444"/>
      <w:r>
        <w:rPr>
          <w:rFonts w:hint="default" w:ascii="Times New Roman" w:hAnsi="Times New Roman" w:cs="Times New Roman"/>
          <w:color w:val="auto"/>
          <w:highlight w:val="none"/>
          <w:lang w:val="en-US" w:eastAsia="zh-CN"/>
        </w:rPr>
        <w:t>3.2 取土（石、料）检测结果</w:t>
      </w:r>
      <w:bookmarkEnd w:id="254"/>
      <w:bookmarkEnd w:id="255"/>
      <w:bookmarkEnd w:id="256"/>
      <w:bookmarkEnd w:id="257"/>
    </w:p>
    <w:p>
      <w:pPr>
        <w:pStyle w:val="4"/>
        <w:keepNext/>
        <w:keepLines/>
        <w:pageBreakBefore w:val="0"/>
        <w:widowControl w:val="0"/>
        <w:kinsoku/>
        <w:wordWrap/>
        <w:overflowPunct/>
        <w:topLinePunct w:val="0"/>
        <w:autoSpaceDE/>
        <w:autoSpaceDN/>
        <w:bidi w:val="0"/>
        <w:adjustRightInd/>
        <w:snapToGrid/>
        <w:spacing w:before="0" w:after="0" w:line="360" w:lineRule="auto"/>
        <w:ind w:firstLine="56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1、方案设计取土情况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根据衡阳市水利局批复的《</w:t>
      </w: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水土保持方案报告书》，本工程回填土方</w:t>
      </w:r>
      <w:r>
        <w:rPr>
          <w:rFonts w:hint="default" w:ascii="Times New Roman" w:hAnsi="Times New Roman" w:cs="Times New Roman"/>
          <w:color w:val="auto"/>
          <w:highlight w:val="none"/>
          <w:lang w:val="en-US" w:eastAsia="zh-CN"/>
        </w:rPr>
        <w:t>12.74</w:t>
      </w:r>
      <w:r>
        <w:rPr>
          <w:rFonts w:hint="default" w:ascii="Times New Roman" w:hAnsi="Times New Roman" w:cs="Times New Roman"/>
          <w:color w:val="auto"/>
          <w:highlight w:val="none"/>
        </w:rPr>
        <w:t>万</w:t>
      </w:r>
      <w:r>
        <w:rPr>
          <w:rFonts w:hint="default" w:ascii="Times New Roman" w:hAnsi="Times New Roman" w:eastAsia="Times New Roman" w:cs="Times New Roman"/>
          <w:color w:val="auto"/>
          <w:highlight w:val="none"/>
        </w:rPr>
        <w:t>m</w:t>
      </w:r>
      <w:r>
        <w:rPr>
          <w:rFonts w:hint="default" w:ascii="Times New Roman" w:hAnsi="Times New Roman" w:eastAsia="Times New Roman" w:cs="Times New Roman"/>
          <w:color w:val="auto"/>
          <w:position w:val="9"/>
          <w:sz w:val="16"/>
          <w:highlight w:val="none"/>
        </w:rPr>
        <w:t>3</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设置T1取土场借方12.74</w:t>
      </w:r>
      <w:r>
        <w:rPr>
          <w:rFonts w:hint="default" w:ascii="Times New Roman" w:hAnsi="Times New Roman" w:cs="Times New Roman"/>
          <w:color w:val="auto"/>
          <w:highlight w:val="none"/>
        </w:rPr>
        <w:t>万</w:t>
      </w:r>
      <w:r>
        <w:rPr>
          <w:rFonts w:hint="default" w:ascii="Times New Roman" w:hAnsi="Times New Roman" w:eastAsia="Times New Roman" w:cs="Times New Roman"/>
          <w:color w:val="auto"/>
          <w:highlight w:val="none"/>
        </w:rPr>
        <w:t>m</w:t>
      </w:r>
      <w:r>
        <w:rPr>
          <w:rFonts w:hint="default" w:ascii="Times New Roman" w:hAnsi="Times New Roman" w:eastAsia="Times New Roman" w:cs="Times New Roman"/>
          <w:color w:val="auto"/>
          <w:position w:val="9"/>
          <w:sz w:val="16"/>
          <w:highlight w:val="none"/>
        </w:rPr>
        <w:t>3</w:t>
      </w:r>
      <w:r>
        <w:rPr>
          <w:rFonts w:hint="default" w:ascii="Times New Roman" w:hAnsi="Times New Roman" w:cs="Times New Roman"/>
          <w:color w:val="auto"/>
          <w:highlight w:val="none"/>
        </w:rPr>
        <w:t>。</w:t>
      </w:r>
    </w:p>
    <w:p>
      <w:pPr>
        <w:pStyle w:val="4"/>
        <w:keepNext/>
        <w:keepLines/>
        <w:pageBreakBefore w:val="0"/>
        <w:widowControl w:val="0"/>
        <w:numPr>
          <w:ilvl w:val="0"/>
          <w:numId w:val="12"/>
        </w:numPr>
        <w:kinsoku/>
        <w:wordWrap/>
        <w:overflowPunct/>
        <w:topLinePunct w:val="0"/>
        <w:autoSpaceDE/>
        <w:autoSpaceDN/>
        <w:bidi w:val="0"/>
        <w:adjustRightInd/>
        <w:snapToGrid/>
        <w:spacing w:before="0" w:after="0" w:line="360" w:lineRule="auto"/>
        <w:ind w:left="0" w:leftChars="0" w:firstLine="56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实际取土情况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对本工程土石方监测结果和建设单位与</w:t>
      </w:r>
      <w:r>
        <w:rPr>
          <w:rFonts w:hint="default" w:ascii="Times New Roman" w:hAnsi="Times New Roman" w:cs="Times New Roman"/>
          <w:color w:val="auto"/>
          <w:highlight w:val="none"/>
          <w:lang w:val="en-US" w:eastAsia="zh-CN"/>
        </w:rPr>
        <w:t>衡阳市城市投资建设有限公司</w:t>
      </w:r>
      <w:r>
        <w:rPr>
          <w:rFonts w:hint="default" w:ascii="Times New Roman" w:hAnsi="Times New Roman" w:cs="Times New Roman"/>
          <w:color w:val="auto"/>
          <w:highlight w:val="none"/>
        </w:rPr>
        <w:t>签订的协议表明，工程回填土石方</w:t>
      </w:r>
      <w:r>
        <w:rPr>
          <w:rFonts w:hint="default" w:ascii="Times New Roman" w:hAnsi="Times New Roman" w:cs="Times New Roman"/>
          <w:color w:val="auto"/>
          <w:highlight w:val="none"/>
          <w:lang w:val="en-US" w:eastAsia="zh-CN"/>
        </w:rPr>
        <w:t>12.74万m³</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从T1</w:t>
      </w:r>
      <w:r>
        <w:rPr>
          <w:rFonts w:hint="default" w:ascii="Times New Roman" w:hAnsi="Times New Roman" w:cs="Times New Roman"/>
          <w:color w:val="auto"/>
          <w:highlight w:val="none"/>
        </w:rPr>
        <w:t>取土场</w:t>
      </w:r>
      <w:r>
        <w:rPr>
          <w:rFonts w:hint="default" w:ascii="Times New Roman" w:hAnsi="Times New Roman" w:cs="Times New Roman"/>
          <w:color w:val="auto"/>
          <w:highlight w:val="none"/>
          <w:lang w:val="en-US" w:eastAsia="zh-CN"/>
        </w:rPr>
        <w:t>取土</w:t>
      </w:r>
      <w:r>
        <w:rPr>
          <w:rFonts w:hint="default" w:ascii="Times New Roman" w:hAnsi="Times New Roman" w:cs="Times New Roman"/>
          <w:color w:val="auto"/>
          <w:highlight w:val="none"/>
        </w:rPr>
        <w:t>。</w:t>
      </w:r>
    </w:p>
    <w:p>
      <w:pPr>
        <w:pStyle w:val="3"/>
        <w:bidi w:val="0"/>
        <w:rPr>
          <w:rFonts w:hint="default" w:ascii="Times New Roman" w:hAnsi="Times New Roman" w:cs="Times New Roman"/>
          <w:color w:val="auto"/>
          <w:highlight w:val="none"/>
          <w:lang w:val="en-US" w:eastAsia="zh-CN"/>
        </w:rPr>
      </w:pPr>
      <w:bookmarkStart w:id="258" w:name="_Toc25067"/>
      <w:bookmarkStart w:id="259" w:name="_Toc31159"/>
      <w:bookmarkStart w:id="260" w:name="_Toc2161"/>
      <w:bookmarkStart w:id="261" w:name="_Toc23790"/>
      <w:r>
        <w:rPr>
          <w:rFonts w:hint="default" w:ascii="Times New Roman" w:hAnsi="Times New Roman" w:cs="Times New Roman"/>
          <w:color w:val="auto"/>
          <w:highlight w:val="none"/>
          <w:lang w:val="en-US" w:eastAsia="zh-CN"/>
        </w:rPr>
        <w:t>3.3 弃土（石、渣）监测结果</w:t>
      </w:r>
      <w:bookmarkEnd w:id="258"/>
      <w:bookmarkEnd w:id="259"/>
      <w:bookmarkEnd w:id="260"/>
      <w:bookmarkEnd w:id="26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1、方案设计弃渣情况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根据批复的水土保持方案报告书，本项目弃方量为5.02万m³，</w:t>
      </w:r>
      <w:r>
        <w:rPr>
          <w:rFonts w:hint="default" w:ascii="Times New Roman" w:hAnsi="Times New Roman" w:cs="Times New Roman"/>
          <w:color w:val="auto"/>
          <w:spacing w:val="-7"/>
          <w:highlight w:val="none"/>
        </w:rPr>
        <w:t>由</w:t>
      </w:r>
      <w:r>
        <w:rPr>
          <w:rFonts w:hint="default" w:ascii="Times New Roman" w:hAnsi="Times New Roman" w:cs="Times New Roman"/>
          <w:color w:val="auto"/>
          <w:spacing w:val="-7"/>
          <w:highlight w:val="none"/>
          <w:lang w:val="en-US" w:eastAsia="zh-CN"/>
        </w:rPr>
        <w:t>衡阳市城市建设投资有限公司</w:t>
      </w:r>
      <w:r>
        <w:rPr>
          <w:rFonts w:hint="default" w:ascii="Times New Roman" w:hAnsi="Times New Roman" w:cs="Times New Roman"/>
          <w:color w:val="auto"/>
          <w:spacing w:val="-5"/>
          <w:highlight w:val="none"/>
        </w:rPr>
        <w:t>统一调运，无</w:t>
      </w:r>
      <w:r>
        <w:rPr>
          <w:rFonts w:hint="default" w:ascii="Times New Roman" w:hAnsi="Times New Roman" w:cs="Times New Roman"/>
          <w:color w:val="auto"/>
          <w:highlight w:val="none"/>
        </w:rPr>
        <w:t>需设置弃渣永久堆场。</w:t>
      </w:r>
    </w:p>
    <w:p>
      <w:pPr>
        <w:keepNext w:val="0"/>
        <w:keepLines w:val="0"/>
        <w:pageBreakBefore w:val="0"/>
        <w:widowControl w:val="0"/>
        <w:numPr>
          <w:ilvl w:val="0"/>
          <w:numId w:val="14"/>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实际弃渣情况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textAlignment w:val="auto"/>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lang w:val="en-US" w:eastAsia="zh-CN"/>
        </w:rPr>
        <w:t>工程实际弃方5.02万m³，</w:t>
      </w:r>
      <w:r>
        <w:rPr>
          <w:rFonts w:hint="default" w:ascii="Times New Roman" w:hAnsi="Times New Roman" w:cs="Times New Roman"/>
          <w:color w:val="auto"/>
          <w:spacing w:val="-7"/>
          <w:highlight w:val="none"/>
        </w:rPr>
        <w:t>由</w:t>
      </w:r>
      <w:r>
        <w:rPr>
          <w:rFonts w:hint="default" w:ascii="Times New Roman" w:hAnsi="Times New Roman" w:cs="Times New Roman"/>
          <w:color w:val="auto"/>
          <w:spacing w:val="-7"/>
          <w:highlight w:val="none"/>
          <w:lang w:val="en-US" w:eastAsia="zh-CN"/>
        </w:rPr>
        <w:t>衡阳市城市建设投资有限公司</w:t>
      </w:r>
      <w:r>
        <w:rPr>
          <w:rFonts w:hint="default" w:ascii="Times New Roman" w:hAnsi="Times New Roman" w:cs="Times New Roman"/>
          <w:color w:val="auto"/>
          <w:spacing w:val="-5"/>
          <w:highlight w:val="none"/>
        </w:rPr>
        <w:t>统一调运，无</w:t>
      </w:r>
      <w:r>
        <w:rPr>
          <w:rFonts w:hint="default" w:ascii="Times New Roman" w:hAnsi="Times New Roman" w:cs="Times New Roman"/>
          <w:color w:val="auto"/>
          <w:highlight w:val="none"/>
        </w:rPr>
        <w:t>需设置弃渣永久堆场</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不构成重大变更。</w:t>
      </w:r>
    </w:p>
    <w:p>
      <w:pPr>
        <w:pStyle w:val="3"/>
        <w:keepNext/>
        <w:keepLines/>
        <w:pageBreakBefore w:val="0"/>
        <w:widowControl w:val="0"/>
        <w:kinsoku/>
        <w:wordWrap/>
        <w:overflowPunct/>
        <w:topLinePunct w:val="0"/>
        <w:autoSpaceDE/>
        <w:autoSpaceDN/>
        <w:bidi w:val="0"/>
        <w:adjustRightInd/>
        <w:snapToGrid/>
        <w:spacing w:before="260" w:after="260" w:line="360" w:lineRule="auto"/>
        <w:textAlignment w:val="auto"/>
        <w:rPr>
          <w:rFonts w:hint="default" w:ascii="Times New Roman" w:hAnsi="Times New Roman" w:cs="Times New Roman"/>
          <w:color w:val="auto"/>
          <w:highlight w:val="none"/>
          <w:lang w:val="en-US" w:eastAsia="zh-CN"/>
        </w:rPr>
      </w:pPr>
      <w:bookmarkStart w:id="262" w:name="_Toc27716"/>
      <w:bookmarkStart w:id="263" w:name="_Toc27440"/>
      <w:bookmarkStart w:id="264" w:name="_Toc569"/>
      <w:bookmarkStart w:id="265" w:name="_Toc13745"/>
      <w:r>
        <w:rPr>
          <w:rFonts w:hint="default" w:ascii="Times New Roman" w:hAnsi="Times New Roman" w:cs="Times New Roman"/>
          <w:color w:val="auto"/>
          <w:highlight w:val="none"/>
          <w:lang w:val="en-US" w:eastAsia="zh-CN"/>
        </w:rPr>
        <w:t>3.4 土石方流向检测结果</w:t>
      </w:r>
      <w:bookmarkEnd w:id="262"/>
      <w:bookmarkEnd w:id="263"/>
      <w:bookmarkEnd w:id="264"/>
      <w:bookmarkEnd w:id="26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1、方案设计土石情况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根据水土保持方案报告书，主体工程总开挖量5.02万m³，总填方量12.74万m³，外借方12.74万m³，总弃方5.02万m³，弃渣由衡阳市城市建设投资有限公司统一调运。</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2、实际土石方情况</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根据工程实际情况及水土保持监测资料本表土剥离总量</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325"/>
        <w:gridCol w:w="1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分区名称</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挖方（m³）</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填方（m³）</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借方（m³）</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弃方（m³）</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临时堆存（m³）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土、石、清淤、表土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调入土、利用方</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淤泥、表土、石方</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50229.7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127417.4</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127417.4</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502229.7</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7366.4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小计</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50229.7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127417.4</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127417.4</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502229.7</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7366.4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160</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150</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弃渣场区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4009.1</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1443.8</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2565.3</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9401.7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3331.7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6070.0</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合计</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63800.5</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132202.97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127417.4</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59015.0</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r>
    </w:tbl>
    <w:p>
      <w:pPr>
        <w:pStyle w:val="2"/>
        <w:keepNext/>
        <w:keepLines/>
        <w:pageBreakBefore w:val="0"/>
        <w:widowControl w:val="0"/>
        <w:kinsoku/>
        <w:wordWrap/>
        <w:overflowPunct/>
        <w:topLinePunct w:val="0"/>
        <w:autoSpaceDE/>
        <w:autoSpaceDN/>
        <w:bidi w:val="0"/>
        <w:adjustRightInd/>
        <w:snapToGrid/>
        <w:spacing w:before="260" w:after="260" w:line="360" w:lineRule="auto"/>
        <w:textAlignment w:val="auto"/>
        <w:outlineLvl w:val="9"/>
        <w:rPr>
          <w:rFonts w:hint="default" w:ascii="Times New Roman" w:hAnsi="Times New Roman" w:cs="Times New Roman"/>
          <w:color w:val="auto"/>
          <w:highlight w:val="none"/>
          <w:lang w:val="en-US" w:eastAsia="zh-CN"/>
        </w:rPr>
        <w:sectPr>
          <w:headerReference r:id="rId20" w:type="default"/>
          <w:pgSz w:w="11910" w:h="16840"/>
          <w:pgMar w:top="1440" w:right="1440" w:bottom="1440" w:left="1440" w:header="882" w:footer="1054" w:gutter="0"/>
          <w:pgNumType w:fmt="decimal"/>
          <w:cols w:space="720" w:num="1"/>
        </w:sectPr>
      </w:pPr>
      <w:bookmarkStart w:id="266" w:name="_Toc20809"/>
      <w:bookmarkStart w:id="267" w:name="_Toc23178"/>
      <w:bookmarkStart w:id="268" w:name="_Toc17974"/>
    </w:p>
    <w:p>
      <w:pPr>
        <w:pStyle w:val="2"/>
        <w:keepNext/>
        <w:keepLines/>
        <w:pageBreakBefore w:val="0"/>
        <w:widowControl w:val="0"/>
        <w:kinsoku/>
        <w:wordWrap/>
        <w:overflowPunct/>
        <w:topLinePunct w:val="0"/>
        <w:autoSpaceDE/>
        <w:autoSpaceDN/>
        <w:bidi w:val="0"/>
        <w:adjustRightInd/>
        <w:snapToGrid/>
        <w:spacing w:before="260" w:after="260" w:line="360" w:lineRule="auto"/>
        <w:textAlignment w:val="auto"/>
        <w:rPr>
          <w:rFonts w:hint="default" w:ascii="Times New Roman" w:hAnsi="Times New Roman" w:cs="Times New Roman"/>
          <w:color w:val="auto"/>
          <w:highlight w:val="none"/>
          <w:lang w:val="en-US" w:eastAsia="zh-CN"/>
        </w:rPr>
      </w:pPr>
      <w:bookmarkStart w:id="269" w:name="_Toc16128"/>
      <w:r>
        <w:rPr>
          <w:rFonts w:hint="default" w:ascii="Times New Roman" w:hAnsi="Times New Roman" w:cs="Times New Roman"/>
          <w:color w:val="auto"/>
          <w:highlight w:val="none"/>
          <w:lang w:val="en-US" w:eastAsia="zh-CN"/>
        </w:rPr>
        <w:t>4 水土流失监测结果</w:t>
      </w:r>
      <w:bookmarkEnd w:id="266"/>
      <w:bookmarkEnd w:id="267"/>
      <w:bookmarkEnd w:id="268"/>
      <w:bookmarkEnd w:id="269"/>
    </w:p>
    <w:p>
      <w:pPr>
        <w:pStyle w:val="3"/>
        <w:bidi w:val="0"/>
        <w:rPr>
          <w:rFonts w:hint="default" w:ascii="Times New Roman" w:hAnsi="Times New Roman" w:cs="Times New Roman"/>
          <w:color w:val="auto"/>
          <w:highlight w:val="none"/>
          <w:lang w:val="en-US" w:eastAsia="zh-CN"/>
        </w:rPr>
      </w:pPr>
      <w:bookmarkStart w:id="270" w:name="_Toc18949"/>
      <w:bookmarkStart w:id="271" w:name="_Toc14464"/>
      <w:bookmarkStart w:id="272" w:name="_Toc31452"/>
      <w:bookmarkStart w:id="273" w:name="_Toc10342"/>
      <w:r>
        <w:rPr>
          <w:rFonts w:hint="default" w:ascii="Times New Roman" w:hAnsi="Times New Roman" w:cs="Times New Roman"/>
          <w:color w:val="auto"/>
          <w:highlight w:val="none"/>
          <w:lang w:val="en-US" w:eastAsia="zh-CN"/>
        </w:rPr>
        <w:t>4.1 工程措施检测结果</w:t>
      </w:r>
      <w:bookmarkEnd w:id="270"/>
      <w:bookmarkEnd w:id="271"/>
      <w:bookmarkEnd w:id="272"/>
      <w:bookmarkEnd w:id="273"/>
    </w:p>
    <w:p>
      <w:pPr>
        <w:pStyle w:val="4"/>
        <w:keepNext/>
        <w:keepLines/>
        <w:pageBreakBefore w:val="0"/>
        <w:widowControl w:val="0"/>
        <w:kinsoku/>
        <w:wordWrap/>
        <w:overflowPunct/>
        <w:topLinePunct w:val="0"/>
        <w:autoSpaceDE/>
        <w:autoSpaceDN/>
        <w:bidi w:val="0"/>
        <w:adjustRightInd/>
        <w:snapToGrid/>
        <w:spacing w:before="0" w:after="0" w:line="360" w:lineRule="auto"/>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4.1.1 工程措施实施情况</w:t>
      </w:r>
    </w:p>
    <w:p>
      <w:pPr>
        <w:pStyle w:val="8"/>
        <w:keepNext w:val="0"/>
        <w:keepLines w:val="0"/>
        <w:pageBreakBefore w:val="0"/>
        <w:widowControl w:val="0"/>
        <w:kinsoku/>
        <w:wordWrap/>
        <w:overflowPunct/>
        <w:topLinePunct w:val="0"/>
        <w:autoSpaceDE/>
        <w:autoSpaceDN/>
        <w:bidi w:val="0"/>
        <w:adjustRightInd/>
        <w:snapToGrid/>
        <w:spacing w:line="360" w:lineRule="auto"/>
        <w:ind w:right="0" w:firstLine="480"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工程措施施工单位为</w:t>
      </w:r>
      <w:r>
        <w:rPr>
          <w:rFonts w:hint="default" w:ascii="Times New Roman" w:hAnsi="Times New Roman" w:cs="Times New Roman"/>
          <w:color w:val="auto"/>
          <w:highlight w:val="none"/>
          <w:lang w:val="en-US" w:eastAsia="zh-CN"/>
        </w:rPr>
        <w:t>衡阳市城市建设投资有限公司</w:t>
      </w:r>
      <w:r>
        <w:rPr>
          <w:rFonts w:hint="default" w:ascii="Times New Roman" w:hAnsi="Times New Roman" w:cs="Times New Roman"/>
          <w:color w:val="auto"/>
          <w:spacing w:val="-9"/>
          <w:highlight w:val="none"/>
        </w:rPr>
        <w:t>。针对主体工程中具</w:t>
      </w:r>
      <w:r>
        <w:rPr>
          <w:rFonts w:hint="default" w:ascii="Times New Roman" w:hAnsi="Times New Roman" w:cs="Times New Roman"/>
          <w:color w:val="auto"/>
          <w:spacing w:val="-4"/>
          <w:highlight w:val="none"/>
        </w:rPr>
        <w:t>有水土保持功能的工程措施在收集设计资料、监理资料的基础上，通过现场巡查为主的</w:t>
      </w:r>
      <w:r>
        <w:rPr>
          <w:rFonts w:hint="default" w:ascii="Times New Roman" w:hAnsi="Times New Roman" w:cs="Times New Roman"/>
          <w:color w:val="auto"/>
          <w:spacing w:val="-5"/>
          <w:highlight w:val="none"/>
        </w:rPr>
        <w:t>方法进行调查监测，本项目一级分区为主体工程区，施工临建区、临时堆土区以及进场</w:t>
      </w:r>
      <w:r>
        <w:rPr>
          <w:rFonts w:hint="default" w:ascii="Times New Roman" w:hAnsi="Times New Roman" w:cs="Times New Roman"/>
          <w:color w:val="auto"/>
          <w:spacing w:val="-15"/>
          <w:highlight w:val="none"/>
        </w:rPr>
        <w:t xml:space="preserve">道路区 </w:t>
      </w:r>
      <w:r>
        <w:rPr>
          <w:rFonts w:hint="default" w:ascii="Times New Roman" w:hAnsi="Times New Roman" w:cs="Times New Roman"/>
          <w:color w:val="auto"/>
          <w:highlight w:val="none"/>
        </w:rPr>
        <w:t>4</w:t>
      </w:r>
      <w:r>
        <w:rPr>
          <w:rFonts w:hint="default" w:ascii="Times New Roman" w:hAnsi="Times New Roman" w:cs="Times New Roman"/>
          <w:color w:val="auto"/>
          <w:spacing w:val="-13"/>
          <w:highlight w:val="none"/>
        </w:rPr>
        <w:t xml:space="preserve"> 个分区，布设了排水管网、砖砌排水明沟和混凝土排水明沟等水土保持工程措</w:t>
      </w:r>
      <w:r>
        <w:rPr>
          <w:rFonts w:hint="default" w:ascii="Times New Roman" w:hAnsi="Times New Roman" w:cs="Times New Roman"/>
          <w:color w:val="auto"/>
          <w:highlight w:val="none"/>
        </w:rPr>
        <w:t>施；场区进行了土地平整。</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4.1.1.1 主体工程区工程措施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工程措施：表土剥离14733m</w:t>
      </w:r>
      <w:r>
        <w:rPr>
          <w:rFonts w:hint="default" w:ascii="Times New Roman" w:hAnsi="Times New Roman" w:cs="Times New Roman"/>
          <w:color w:val="auto"/>
          <w:highlight w:val="none"/>
          <w:vertAlign w:val="superscript"/>
        </w:rPr>
        <w:t>3</w:t>
      </w:r>
      <w:r>
        <w:rPr>
          <w:rFonts w:hint="default" w:ascii="Times New Roman" w:hAnsi="Times New Roman" w:cs="Times New Roman"/>
          <w:color w:val="auto"/>
          <w:highlight w:val="none"/>
        </w:rPr>
        <w:t>； 2）植物措施：铺草皮3348m²，植树16740株；3）临时措施：临时挡土坎2632m、挡土板85块、临时排水沟1786m、挖沉砂池15个、防尘网1316m²</w:t>
      </w:r>
      <w:r>
        <w:rPr>
          <w:rFonts w:hint="default" w:ascii="Times New Roman" w:hAnsi="Times New Roman" w:cs="Times New Roman"/>
          <w:color w:val="auto"/>
          <w:highlight w:val="none"/>
          <w:lang w:eastAsia="zh-CN"/>
        </w:rPr>
        <w:t>。</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4.1.1.2 施工变道区工程措施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主要是做好施工过程中的临时拦挡、截排水及路基边坡防护等，施工结束后，进行场地平整，覆土复耕或种植林草。</w:t>
      </w:r>
    </w:p>
    <w:p>
      <w:pPr>
        <w:pStyle w:val="3"/>
        <w:bidi w:val="0"/>
        <w:rPr>
          <w:rFonts w:hint="default" w:ascii="Times New Roman" w:hAnsi="Times New Roman" w:cs="Times New Roman"/>
          <w:color w:val="auto"/>
          <w:highlight w:val="none"/>
          <w:lang w:val="en-US" w:eastAsia="zh-CN"/>
        </w:rPr>
      </w:pPr>
      <w:bookmarkStart w:id="274" w:name="_Toc22113"/>
      <w:bookmarkStart w:id="275" w:name="_Toc760"/>
      <w:bookmarkStart w:id="276" w:name="_Toc23336"/>
      <w:bookmarkStart w:id="277" w:name="_Toc1486"/>
      <w:r>
        <w:rPr>
          <w:rFonts w:hint="default" w:ascii="Times New Roman" w:hAnsi="Times New Roman" w:cs="Times New Roman"/>
          <w:color w:val="auto"/>
          <w:highlight w:val="none"/>
          <w:lang w:val="en-US" w:eastAsia="zh-CN"/>
        </w:rPr>
        <w:t>4.2 植物措施检测结果</w:t>
      </w:r>
      <w:bookmarkEnd w:id="274"/>
      <w:bookmarkEnd w:id="275"/>
      <w:bookmarkEnd w:id="276"/>
      <w:bookmarkEnd w:id="277"/>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4.2.1 植物措施实施情况</w:t>
      </w:r>
    </w:p>
    <w:p>
      <w:pPr>
        <w:keepNext w:val="0"/>
        <w:keepLines w:val="0"/>
        <w:pageBreakBefore w:val="0"/>
        <w:widowControl w:val="0"/>
        <w:kinsoku/>
        <w:wordWrap/>
        <w:overflowPunct/>
        <w:topLinePunct w:val="0"/>
        <w:autoSpaceDE/>
        <w:autoSpaceDN/>
        <w:bidi w:val="0"/>
        <w:adjustRightInd/>
        <w:snapToGrid/>
        <w:spacing w:line="360" w:lineRule="auto"/>
        <w:ind w:firstLine="468"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3"/>
          <w:highlight w:val="none"/>
        </w:rPr>
        <w:t>植物措施施工单位为</w:t>
      </w:r>
      <w:r>
        <w:rPr>
          <w:rFonts w:hint="default" w:ascii="Times New Roman" w:hAnsi="Times New Roman" w:cs="Times New Roman"/>
          <w:color w:val="auto"/>
          <w:highlight w:val="none"/>
          <w:lang w:val="en-US" w:eastAsia="zh-CN"/>
        </w:rPr>
        <w:t>衡阳市城市建设投资有限公司</w:t>
      </w:r>
      <w:r>
        <w:rPr>
          <w:rFonts w:hint="default" w:ascii="Times New Roman" w:hAnsi="Times New Roman" w:cs="Times New Roman"/>
          <w:color w:val="auto"/>
          <w:spacing w:val="-3"/>
          <w:highlight w:val="none"/>
        </w:rPr>
        <w:t>，针对主体工程中具</w:t>
      </w:r>
      <w:r>
        <w:rPr>
          <w:rFonts w:hint="default" w:ascii="Times New Roman" w:hAnsi="Times New Roman" w:cs="Times New Roman"/>
          <w:color w:val="auto"/>
          <w:spacing w:val="-4"/>
          <w:highlight w:val="none"/>
        </w:rPr>
        <w:t>有水土保持功能的植物措施在收集设计资料、监理资料的基础上，通过现场巡查为主的</w:t>
      </w:r>
      <w:r>
        <w:rPr>
          <w:rFonts w:hint="default" w:ascii="Times New Roman" w:hAnsi="Times New Roman" w:cs="Times New Roman"/>
          <w:color w:val="auto"/>
          <w:highlight w:val="none"/>
        </w:rPr>
        <w:t>方法进行调查监测，各分区水土保持植物措施都已实施。</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4.2.1.1 主体工程区植物措施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植物措施：铺草皮3348m²，植树16740株</w:t>
      </w:r>
      <w:r>
        <w:rPr>
          <w:rFonts w:hint="default" w:ascii="Times New Roman" w:hAnsi="Times New Roman" w:cs="Times New Roman"/>
          <w:color w:val="auto"/>
          <w:highlight w:val="none"/>
          <w:lang w:eastAsia="zh-CN"/>
        </w:rPr>
        <w:t>。</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4.2.1.2 弃渣场区植物措施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rPr>
        <w:t>植物措施：铺草皮1680m²、撒播草籽21kg、栽植香樟697株、杜英697株、红继木4183株</w:t>
      </w:r>
      <w:r>
        <w:rPr>
          <w:rFonts w:hint="default" w:ascii="Times New Roman" w:hAnsi="Times New Roman" w:cs="Times New Roman"/>
          <w:color w:val="auto"/>
          <w:highlight w:val="none"/>
          <w:lang w:eastAsia="zh-CN"/>
        </w:rPr>
        <w:t>。</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4.2.1.3 取土场区植物措施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rPr>
        <w:t>植物措施：铺草</w:t>
      </w:r>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rPr>
        <w:t>000m²、撒播草籽</w:t>
      </w:r>
      <w:r>
        <w:rPr>
          <w:rFonts w:hint="default" w:ascii="Times New Roman" w:hAnsi="Times New Roman" w:cs="Times New Roman"/>
          <w:color w:val="auto"/>
          <w:highlight w:val="none"/>
          <w:lang w:val="en-US" w:eastAsia="zh-CN"/>
        </w:rPr>
        <w:t>50</w:t>
      </w:r>
      <w:r>
        <w:rPr>
          <w:rFonts w:hint="default" w:ascii="Times New Roman" w:hAnsi="Times New Roman" w:cs="Times New Roman"/>
          <w:color w:val="auto"/>
          <w:highlight w:val="none"/>
        </w:rPr>
        <w:t>kg、栽植香樟</w:t>
      </w:r>
      <w:r>
        <w:rPr>
          <w:rFonts w:hint="default" w:ascii="Times New Roman" w:hAnsi="Times New Roman" w:cs="Times New Roman"/>
          <w:color w:val="auto"/>
          <w:highlight w:val="none"/>
          <w:lang w:val="en-US" w:eastAsia="zh-CN"/>
        </w:rPr>
        <w:t>50</w:t>
      </w:r>
      <w:r>
        <w:rPr>
          <w:rFonts w:hint="default" w:ascii="Times New Roman" w:hAnsi="Times New Roman" w:cs="Times New Roman"/>
          <w:color w:val="auto"/>
          <w:highlight w:val="none"/>
        </w:rPr>
        <w:t>0株、杜英</w:t>
      </w:r>
      <w:r>
        <w:rPr>
          <w:rFonts w:hint="default" w:ascii="Times New Roman" w:hAnsi="Times New Roman" w:cs="Times New Roman"/>
          <w:color w:val="auto"/>
          <w:highlight w:val="none"/>
          <w:lang w:val="en-US" w:eastAsia="zh-CN"/>
        </w:rPr>
        <w:t>50</w:t>
      </w:r>
      <w:r>
        <w:rPr>
          <w:rFonts w:hint="default" w:ascii="Times New Roman" w:hAnsi="Times New Roman" w:cs="Times New Roman"/>
          <w:color w:val="auto"/>
          <w:highlight w:val="none"/>
        </w:rPr>
        <w:t>0株、红继木</w:t>
      </w:r>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rPr>
        <w:t>000株</w:t>
      </w:r>
      <w:r>
        <w:rPr>
          <w:rFonts w:hint="default" w:ascii="Times New Roman" w:hAnsi="Times New Roman" w:cs="Times New Roman"/>
          <w:color w:val="auto"/>
          <w:highlight w:val="none"/>
          <w:lang w:eastAsia="zh-CN"/>
        </w:rPr>
        <w:t>。</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4.2.1.4 施工变道区植物措施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rPr>
        <w:t>植物措施：铺草皮</w:t>
      </w:r>
      <w:r>
        <w:rPr>
          <w:rFonts w:hint="default" w:ascii="Times New Roman" w:hAnsi="Times New Roman" w:cs="Times New Roman"/>
          <w:color w:val="auto"/>
          <w:highlight w:val="none"/>
          <w:lang w:val="en-US" w:eastAsia="zh-CN"/>
        </w:rPr>
        <w:t>10</w:t>
      </w:r>
      <w:r>
        <w:rPr>
          <w:rFonts w:hint="default" w:ascii="Times New Roman" w:hAnsi="Times New Roman" w:cs="Times New Roman"/>
          <w:color w:val="auto"/>
          <w:highlight w:val="none"/>
        </w:rPr>
        <w:t>0m²、撒播草籽</w:t>
      </w:r>
      <w:r>
        <w:rPr>
          <w:rFonts w:hint="default" w:ascii="Times New Roman" w:hAnsi="Times New Roman" w:cs="Times New Roman"/>
          <w:color w:val="auto"/>
          <w:highlight w:val="none"/>
          <w:lang w:val="en-US" w:eastAsia="zh-CN"/>
        </w:rPr>
        <w:t>1.25</w:t>
      </w:r>
      <w:r>
        <w:rPr>
          <w:rFonts w:hint="default" w:ascii="Times New Roman" w:hAnsi="Times New Roman" w:cs="Times New Roman"/>
          <w:color w:val="auto"/>
          <w:highlight w:val="none"/>
        </w:rPr>
        <w:t>kg、栽植香樟</w:t>
      </w:r>
      <w:r>
        <w:rPr>
          <w:rFonts w:hint="default" w:ascii="Times New Roman" w:hAnsi="Times New Roman" w:cs="Times New Roman"/>
          <w:color w:val="auto"/>
          <w:highlight w:val="none"/>
          <w:lang w:val="en-US" w:eastAsia="zh-CN"/>
        </w:rPr>
        <w:t>31</w:t>
      </w:r>
      <w:r>
        <w:rPr>
          <w:rFonts w:hint="default" w:ascii="Times New Roman" w:hAnsi="Times New Roman" w:cs="Times New Roman"/>
          <w:color w:val="auto"/>
          <w:highlight w:val="none"/>
        </w:rPr>
        <w:t>株、杜英</w:t>
      </w:r>
      <w:r>
        <w:rPr>
          <w:rFonts w:hint="default" w:ascii="Times New Roman" w:hAnsi="Times New Roman" w:cs="Times New Roman"/>
          <w:color w:val="auto"/>
          <w:highlight w:val="none"/>
          <w:lang w:val="en-US" w:eastAsia="zh-CN"/>
        </w:rPr>
        <w:t>31</w:t>
      </w:r>
      <w:r>
        <w:rPr>
          <w:rFonts w:hint="default" w:ascii="Times New Roman" w:hAnsi="Times New Roman" w:cs="Times New Roman"/>
          <w:color w:val="auto"/>
          <w:highlight w:val="none"/>
        </w:rPr>
        <w:t>株、红继木</w:t>
      </w:r>
      <w:r>
        <w:rPr>
          <w:rFonts w:hint="default" w:ascii="Times New Roman" w:hAnsi="Times New Roman" w:cs="Times New Roman"/>
          <w:color w:val="auto"/>
          <w:highlight w:val="none"/>
          <w:lang w:val="en-US" w:eastAsia="zh-CN"/>
        </w:rPr>
        <w:t>167</w:t>
      </w:r>
      <w:r>
        <w:rPr>
          <w:rFonts w:hint="default" w:ascii="Times New Roman" w:hAnsi="Times New Roman" w:cs="Times New Roman"/>
          <w:color w:val="auto"/>
          <w:highlight w:val="none"/>
        </w:rPr>
        <w:t>株</w:t>
      </w:r>
      <w:r>
        <w:rPr>
          <w:rFonts w:hint="default" w:ascii="Times New Roman" w:hAnsi="Times New Roman" w:cs="Times New Roman"/>
          <w:color w:val="auto"/>
          <w:highlight w:val="none"/>
          <w:lang w:eastAsia="zh-CN"/>
        </w:rPr>
        <w:t>。</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4.2.1.5 临时堆土区植物措施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rPr>
        <w:t>植物措施：撒播草籽5kg、杜英</w:t>
      </w:r>
      <w:r>
        <w:rPr>
          <w:rFonts w:hint="default" w:ascii="Times New Roman" w:hAnsi="Times New Roman" w:cs="Times New Roman"/>
          <w:color w:val="auto"/>
          <w:highlight w:val="none"/>
          <w:lang w:val="en-US" w:eastAsia="zh-CN"/>
        </w:rPr>
        <w:t>350</w:t>
      </w:r>
      <w:r>
        <w:rPr>
          <w:rFonts w:hint="default" w:ascii="Times New Roman" w:hAnsi="Times New Roman" w:cs="Times New Roman"/>
          <w:color w:val="auto"/>
          <w:highlight w:val="none"/>
        </w:rPr>
        <w:t>株、红继木</w:t>
      </w:r>
      <w:r>
        <w:rPr>
          <w:rFonts w:hint="default" w:ascii="Times New Roman" w:hAnsi="Times New Roman" w:cs="Times New Roman"/>
          <w:color w:val="auto"/>
          <w:highlight w:val="none"/>
          <w:lang w:val="en-US" w:eastAsia="zh-CN"/>
        </w:rPr>
        <w:t>700</w:t>
      </w:r>
      <w:r>
        <w:rPr>
          <w:rFonts w:hint="default" w:ascii="Times New Roman" w:hAnsi="Times New Roman" w:cs="Times New Roman"/>
          <w:color w:val="auto"/>
          <w:highlight w:val="none"/>
        </w:rPr>
        <w:t>株</w:t>
      </w:r>
      <w:r>
        <w:rPr>
          <w:rFonts w:hint="default" w:ascii="Times New Roman" w:hAnsi="Times New Roman" w:cs="Times New Roman"/>
          <w:color w:val="auto"/>
          <w:highlight w:val="none"/>
          <w:lang w:eastAsia="zh-CN"/>
        </w:rPr>
        <w:t>。</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4.2.1.6 施工生产生活区植物措施</w:t>
      </w:r>
    </w:p>
    <w:p>
      <w:pPr>
        <w:pStyle w:val="22"/>
        <w:spacing w:line="360" w:lineRule="auto"/>
        <w:ind w:firstLine="480"/>
        <w:rPr>
          <w:rFonts w:hint="default" w:ascii="Times New Roman" w:hAnsi="Times New Roman" w:cs="Times New Roman"/>
          <w:color w:val="auto"/>
          <w:highlight w:val="none"/>
        </w:rPr>
      </w:pPr>
      <w:r>
        <w:rPr>
          <w:rFonts w:hint="default" w:ascii="Times New Roman" w:hAnsi="Times New Roman" w:cs="Times New Roman"/>
          <w:color w:val="auto"/>
          <w:highlight w:val="none"/>
        </w:rPr>
        <w:t>植物措施：撒播草籽</w:t>
      </w: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rPr>
        <w:t>kg、栽植杜英</w:t>
      </w:r>
      <w:r>
        <w:rPr>
          <w:rFonts w:hint="default" w:ascii="Times New Roman" w:hAnsi="Times New Roman" w:cs="Times New Roman"/>
          <w:color w:val="auto"/>
          <w:highlight w:val="none"/>
          <w:lang w:val="en-US" w:eastAsia="zh-CN"/>
        </w:rPr>
        <w:t>333</w:t>
      </w:r>
      <w:r>
        <w:rPr>
          <w:rFonts w:hint="default" w:ascii="Times New Roman" w:hAnsi="Times New Roman" w:cs="Times New Roman"/>
          <w:color w:val="auto"/>
          <w:highlight w:val="none"/>
        </w:rPr>
        <w:t>株、栽植红继木</w:t>
      </w:r>
      <w:r>
        <w:rPr>
          <w:rFonts w:hint="default" w:ascii="Times New Roman" w:hAnsi="Times New Roman" w:cs="Times New Roman"/>
          <w:color w:val="auto"/>
          <w:highlight w:val="none"/>
          <w:lang w:val="en-US" w:eastAsia="zh-CN"/>
        </w:rPr>
        <w:t>667</w:t>
      </w:r>
      <w:r>
        <w:rPr>
          <w:rFonts w:hint="default" w:ascii="Times New Roman" w:hAnsi="Times New Roman" w:cs="Times New Roman"/>
          <w:color w:val="auto"/>
          <w:highlight w:val="none"/>
        </w:rPr>
        <w:t>株。</w:t>
      </w:r>
    </w:p>
    <w:p>
      <w:pPr>
        <w:pStyle w:val="3"/>
        <w:bidi w:val="0"/>
        <w:rPr>
          <w:rFonts w:hint="default" w:ascii="Times New Roman" w:hAnsi="Times New Roman" w:cs="Times New Roman"/>
          <w:color w:val="auto"/>
          <w:highlight w:val="none"/>
          <w:lang w:val="en-US" w:eastAsia="zh-CN"/>
        </w:rPr>
      </w:pPr>
      <w:bookmarkStart w:id="278" w:name="_Toc10795"/>
      <w:bookmarkStart w:id="279" w:name="_Toc15423"/>
      <w:bookmarkStart w:id="280" w:name="_Toc5992"/>
      <w:bookmarkStart w:id="281" w:name="_Toc9895"/>
      <w:r>
        <w:rPr>
          <w:rFonts w:hint="default" w:ascii="Times New Roman" w:hAnsi="Times New Roman" w:cs="Times New Roman"/>
          <w:color w:val="auto"/>
          <w:highlight w:val="none"/>
          <w:lang w:val="en-US" w:eastAsia="zh-CN"/>
        </w:rPr>
        <w:t>4.3 临时防治监测结果</w:t>
      </w:r>
      <w:bookmarkEnd w:id="278"/>
      <w:bookmarkEnd w:id="279"/>
      <w:bookmarkEnd w:id="280"/>
      <w:bookmarkEnd w:id="281"/>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4.3.1 临时措施实施情况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临时措施施工单位</w:t>
      </w:r>
      <w:r>
        <w:rPr>
          <w:rFonts w:hint="default" w:ascii="Times New Roman" w:hAnsi="Times New Roman" w:cs="Times New Roman"/>
          <w:color w:val="auto"/>
          <w:highlight w:val="none"/>
          <w:lang w:val="en-US" w:eastAsia="zh-CN"/>
        </w:rPr>
        <w:t>衡阳市城市建设投资有限公司</w:t>
      </w:r>
      <w:r>
        <w:rPr>
          <w:rFonts w:hint="default" w:ascii="Times New Roman" w:hAnsi="Times New Roman" w:cs="Times New Roman"/>
          <w:color w:val="auto"/>
          <w:highlight w:val="none"/>
        </w:rPr>
        <w:t>，针对主体工程中具有水土保持功能的临时措施在收集设计资料、监理资料的基础上，通过现场巡查为主的方法进行调查监测，本项目实施的临时措施有采取</w:t>
      </w:r>
      <w:r>
        <w:rPr>
          <w:rFonts w:hint="default" w:ascii="Times New Roman" w:hAnsi="Times New Roman" w:cs="Times New Roman"/>
          <w:color w:val="auto"/>
          <w:highlight w:val="none"/>
          <w:lang w:val="en-US" w:eastAsia="zh-CN"/>
        </w:rPr>
        <w:t>临时挡土坎、</w:t>
      </w:r>
      <w:r>
        <w:rPr>
          <w:rFonts w:hint="default" w:ascii="Times New Roman" w:hAnsi="Times New Roman" w:cs="Times New Roman"/>
          <w:color w:val="auto"/>
          <w:highlight w:val="none"/>
        </w:rPr>
        <w:t>临时排水沟、沉砂池、铺洒碎石子</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防尘网覆盖</w:t>
      </w:r>
      <w:r>
        <w:rPr>
          <w:rFonts w:hint="default" w:ascii="Times New Roman" w:hAnsi="Times New Roman" w:cs="Times New Roman"/>
          <w:color w:val="auto"/>
          <w:highlight w:val="none"/>
        </w:rPr>
        <w:t>等措施。</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4.3.1.1 主体工程区临时措施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主体工程区完成的临时措施工程量为：临时挡土坎2632m、挡土板85块、临时排水沟1786m、挖沉砂池15个、防尘网1316㎡。</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本项目采用的临时防护措施见下表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2632</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挡土板</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块</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1786</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沉砂池</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15</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防尘网</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1316</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4.3.1.2 附属设施区临时措施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附属设施区完成的临时措施工程量为：临时挡土坎235m、临时排水沟118m、挖沉砂池1个、防尘网覆盖390㎡。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本项目采用的临时防护措施见下表</w:t>
      </w:r>
    </w:p>
    <w:tbl>
      <w:tblPr>
        <w:tblStyle w:val="20"/>
        <w:tblpPr w:leftFromText="180" w:rightFromText="180" w:vertAnchor="text" w:horzAnchor="page" w:tblpXSpec="center" w:tblpY="71"/>
        <w:tblOverlap w:val="never"/>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附属设施区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235</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118</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沉砂池</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防尘网</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390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 xml:space="preserve">  </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4.3.1.3 弃渣回填区临时措施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弃渣回填区完成的临时措施工程量为：临时挡土坎137m、临时排水沟151m。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本项目采用的临时防护措施见下表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弃渣回填区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137</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151</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4.3.1.4 取土场区临时措施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取土场区完成的临时措施工程量为:临时挡土坎324m、临时排水沟356m。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本项目采用的临时防护措施见下表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324</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356</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4.3.1.5 施工便道区临时措施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施工便道区完成的临时措施工程量为：临时挡土坎60m、临时排水沟100m、挡土板3块、铺撒碎石子20m³。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本项目采用的临时防护措施见下表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挡土板</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块</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铺撒碎石子</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4.3.1.6 施工生产生活区临时措施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施工生产生活区完成的临时措施工程量为：临时挡土坎233m、临时排水沟268m、沉砂池3个、铺撒碎石子131m³、防尘网覆盖1637㎡。</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本项目采用的临时防护措施见下表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施工生产生活区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233</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268</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沉砂池</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铺撒碎石子</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131</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防尘网</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1637</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4.3.1.7 临时堆土区临时措施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临时堆土区完成的临时措施工程量为：临时挡土坎239m、临时排水沟75m、沉砂池3个、铺撒碎石子60m³、防尘网覆盖1637㎡。</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本项目采用的临时防护措施见下表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jc w:val="center"/>
        </w:trPr>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临时堆土区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239</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75</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沉砂池</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铺撒碎石子</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防尘网</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1637</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4.3.1.8 实际完成水土保持临时措施汇总及对比</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本项目主要水土保持临时措施为：临时挡土坎2860m、临时排水沟2854m、挡土板88块、沉砂池22个、铺撒碎石子211m³、防尘网4980㎡</w:t>
      </w:r>
    </w:p>
    <w:p>
      <w:pPr>
        <w:keepNext w:val="0"/>
        <w:keepLines w:val="0"/>
        <w:pageBreakBefore w:val="0"/>
        <w:widowControl w:val="0"/>
        <w:kinsoku/>
        <w:wordWrap/>
        <w:overflowPunct/>
        <w:topLinePunct w:val="0"/>
        <w:autoSpaceDE/>
        <w:autoSpaceDN/>
        <w:bidi w:val="0"/>
        <w:adjustRightInd/>
        <w:snapToGrid/>
        <w:spacing w:line="360" w:lineRule="auto"/>
        <w:ind w:firstLine="422" w:firstLineChars="200"/>
        <w:jc w:val="center"/>
        <w:textAlignment w:val="auto"/>
        <w:outlineLvl w:val="0"/>
        <w:rPr>
          <w:rFonts w:hint="default" w:ascii="Times New Roman" w:hAnsi="Times New Roman" w:cs="Times New Roman"/>
          <w:color w:val="auto"/>
          <w:highlight w:val="none"/>
          <w:lang w:val="en-US" w:eastAsia="zh-CN"/>
        </w:rPr>
      </w:pPr>
      <w:bookmarkStart w:id="282" w:name="_Toc27409"/>
      <w:bookmarkStart w:id="283" w:name="_Toc6374"/>
      <w:bookmarkStart w:id="284" w:name="_Toc13606"/>
      <w:bookmarkStart w:id="285" w:name="_Toc16629"/>
      <w:r>
        <w:rPr>
          <w:rFonts w:hint="default" w:ascii="Times New Roman" w:hAnsi="Times New Roman" w:cs="Times New Roman"/>
          <w:b/>
          <w:color w:val="auto"/>
          <w:sz w:val="21"/>
          <w:highlight w:val="none"/>
        </w:rPr>
        <w:t>方案设计水保临时措施与完成工程对比情况表</w:t>
      </w:r>
      <w:bookmarkEnd w:id="282"/>
      <w:bookmarkEnd w:id="283"/>
      <w:bookmarkEnd w:id="284"/>
      <w:bookmarkEnd w:id="285"/>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方案设计</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实际完成</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2632</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2632</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挡土板</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块</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1786</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1786</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沉砂池</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个</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15</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15</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防尘网</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1316</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1316</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附属设施区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235</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235</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118</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118</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沉砂池</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个</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防尘网</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m</w:t>
            </w:r>
            <w:r>
              <w:rPr>
                <w:rFonts w:hint="default" w:ascii="Times New Roman" w:hAnsi="Times New Roman" w:cs="Times New Roman"/>
                <w:color w:val="auto"/>
                <w:kern w:val="2"/>
                <w:sz w:val="21"/>
                <w:szCs w:val="21"/>
                <w:highlight w:val="none"/>
                <w:vertAlign w:val="superscript"/>
                <w:lang w:val="en-US" w:eastAsia="zh-CN" w:bidi="ar-SA"/>
              </w:rPr>
              <w:t>2</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390</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390</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弃渣回填区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137</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137</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151</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151</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324</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324</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356</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356</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60</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60</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100</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100</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挡土板</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块</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铺撒碎石子</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施工生产生活区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233</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233</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268</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268</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沉砂池</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个</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铺撒碎石子</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131</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131</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防尘网</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1637</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1637</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临时堆土区</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239</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239</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75</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75</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沉砂池</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个</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铺撒碎石子</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60</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60</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防尘网</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1637</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1637</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rPr>
        <w:t>临时措施的实施受工程进度、施工期气候条件、地形地貌等实际情况影响较大，从表中可以看出，各个分区临时措施变化不大</w:t>
      </w:r>
      <w:r>
        <w:rPr>
          <w:rFonts w:hint="default" w:ascii="Times New Roman" w:hAnsi="Times New Roman" w:cs="Times New Roman"/>
          <w:color w:val="auto"/>
          <w:highlight w:val="none"/>
          <w:lang w:eastAsia="zh-CN"/>
        </w:rPr>
        <w:t>。</w:t>
      </w:r>
    </w:p>
    <w:p>
      <w:pPr>
        <w:pStyle w:val="3"/>
        <w:bidi w:val="0"/>
        <w:rPr>
          <w:rFonts w:hint="default" w:ascii="Times New Roman" w:hAnsi="Times New Roman" w:cs="Times New Roman"/>
          <w:color w:val="auto"/>
          <w:highlight w:val="none"/>
          <w:lang w:val="en-US" w:eastAsia="zh-CN"/>
        </w:rPr>
      </w:pPr>
      <w:bookmarkStart w:id="286" w:name="_Toc7469"/>
      <w:bookmarkStart w:id="287" w:name="_Toc30443"/>
      <w:bookmarkStart w:id="288" w:name="_Toc2195"/>
      <w:bookmarkStart w:id="289" w:name="_Toc24502"/>
      <w:r>
        <w:rPr>
          <w:rFonts w:hint="default" w:ascii="Times New Roman" w:hAnsi="Times New Roman" w:cs="Times New Roman"/>
          <w:color w:val="auto"/>
          <w:highlight w:val="none"/>
          <w:lang w:val="en-US" w:eastAsia="zh-CN"/>
        </w:rPr>
        <w:t>4.4 水土保持措施防治效果</w:t>
      </w:r>
      <w:bookmarkEnd w:id="286"/>
      <w:bookmarkEnd w:id="287"/>
      <w:bookmarkEnd w:id="288"/>
      <w:bookmarkEnd w:id="28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1、水土保持工程量</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根据监测人员实地量测和施工、监理、建设单位提供的资料，本工程实际完成的工程量详见</w:t>
      </w:r>
      <w:r>
        <w:rPr>
          <w:rFonts w:hint="default" w:ascii="Times New Roman" w:hAnsi="Times New Roman" w:cs="Times New Roman"/>
          <w:color w:val="auto"/>
          <w:highlight w:val="none"/>
          <w:lang w:val="en-US" w:eastAsia="zh-CN"/>
        </w:rPr>
        <w:t>下</w:t>
      </w:r>
      <w:r>
        <w:rPr>
          <w:rFonts w:hint="default" w:ascii="Times New Roman" w:hAnsi="Times New Roman" w:cs="Times New Roman"/>
          <w:color w:val="auto"/>
          <w:highlight w:val="none"/>
        </w:rPr>
        <w:t>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p>
    <w:p>
      <w:pPr>
        <w:pStyle w:val="8"/>
        <w:tabs>
          <w:tab w:val="left" w:pos="3733"/>
        </w:tabs>
        <w:spacing w:before="74" w:after="24"/>
        <w:ind w:left="2693"/>
        <w:rPr>
          <w:rFonts w:hint="default" w:ascii="Times New Roman" w:hAnsi="Times New Roman" w:cs="Times New Roman"/>
          <w:color w:val="auto"/>
          <w:highlight w:val="none"/>
        </w:rPr>
      </w:pPr>
      <w:r>
        <w:rPr>
          <w:rFonts w:hint="default" w:ascii="Times New Roman" w:hAnsi="Times New Roman" w:cs="Times New Roman"/>
          <w:color w:val="auto"/>
          <w:highlight w:val="none"/>
        </w:rPr>
        <w:t>实际完成的水土保持工程量表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381"/>
        <w:gridCol w:w="1338"/>
        <w:gridCol w:w="932"/>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措施类型</w:t>
            </w: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33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932"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2436"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工程量</w:t>
            </w:r>
          </w:p>
        </w:tc>
        <w:tc>
          <w:tcPr>
            <w:tcW w:w="121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3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93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方案设计</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实际完成</w:t>
            </w:r>
          </w:p>
        </w:tc>
        <w:tc>
          <w:tcPr>
            <w:tcW w:w="12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工程措施</w:t>
            </w:r>
          </w:p>
        </w:tc>
        <w:tc>
          <w:tcPr>
            <w:tcW w:w="13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14733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14733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弃渣回填区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挡渣墙</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92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92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截水沟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137</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137</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排水沟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229</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229</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浆砌石沉砂池</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1260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1260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截排水沟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448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448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永久沉砂池</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10000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10000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75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施工生产生活区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252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临时堆土区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植物措施</w:t>
            </w: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铺草皮</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kern w:val="2"/>
                <w:sz w:val="21"/>
                <w:szCs w:val="21"/>
                <w:highlight w:val="none"/>
                <w:vertAlign w:val="baseline"/>
                <w:lang w:val="en-US" w:eastAsia="zh-CN" w:bidi="ar-SA"/>
              </w:rPr>
              <w:t>m</w:t>
            </w:r>
            <w:r>
              <w:rPr>
                <w:rFonts w:hint="default" w:ascii="Times New Roman" w:hAnsi="Times New Roman" w:cs="Times New Roman"/>
                <w:color w:val="auto"/>
                <w:kern w:val="2"/>
                <w:sz w:val="21"/>
                <w:szCs w:val="21"/>
                <w:highlight w:val="none"/>
                <w:vertAlign w:val="superscript"/>
                <w:lang w:val="en-US" w:eastAsia="zh-CN" w:bidi="ar-SA"/>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3348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3348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植树</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16470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16470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弃渣回填区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铺草皮</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kern w:val="2"/>
                <w:sz w:val="21"/>
                <w:szCs w:val="21"/>
                <w:highlight w:val="none"/>
                <w:vertAlign w:val="baseline"/>
                <w:lang w:val="en-US" w:eastAsia="zh-CN" w:bidi="ar-SA"/>
              </w:rPr>
              <w:t>m</w:t>
            </w:r>
            <w:r>
              <w:rPr>
                <w:rFonts w:hint="default" w:ascii="Times New Roman" w:hAnsi="Times New Roman" w:cs="Times New Roman"/>
                <w:color w:val="auto"/>
                <w:kern w:val="2"/>
                <w:sz w:val="21"/>
                <w:szCs w:val="21"/>
                <w:highlight w:val="none"/>
                <w:vertAlign w:val="superscript"/>
                <w:lang w:val="en-US" w:eastAsia="zh-CN" w:bidi="ar-SA"/>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560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560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撒播草籽</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kg</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香樟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杜英</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红继木</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680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680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铺草皮</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m</w:t>
            </w:r>
            <w:r>
              <w:rPr>
                <w:rFonts w:hint="default" w:ascii="Times New Roman" w:hAnsi="Times New Roman" w:cs="Times New Roman"/>
                <w:color w:val="auto"/>
                <w:kern w:val="2"/>
                <w:sz w:val="21"/>
                <w:szCs w:val="21"/>
                <w:highlight w:val="none"/>
                <w:vertAlign w:val="superscript"/>
                <w:lang w:val="en-US" w:eastAsia="zh-CN" w:bidi="ar-SA"/>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4000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4000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撒播草籽</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kg</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香樟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bookmarkStart w:id="290" w:name="_Toc22801"/>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杜英</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500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红继木</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4000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4000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铺草皮</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m</w:t>
            </w:r>
            <w:r>
              <w:rPr>
                <w:rFonts w:hint="default" w:ascii="Times New Roman" w:hAnsi="Times New Roman" w:cs="Times New Roman"/>
                <w:color w:val="auto"/>
                <w:kern w:val="2"/>
                <w:sz w:val="21"/>
                <w:szCs w:val="21"/>
                <w:highlight w:val="none"/>
                <w:vertAlign w:val="superscript"/>
                <w:lang w:val="en-US" w:eastAsia="zh-CN" w:bidi="ar-SA"/>
              </w:rPr>
              <w:t>2</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100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撒播草籽</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kg</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1.25</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香樟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31</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杜英</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31</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红继木</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167</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施工生产生活区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撒播草籽</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kg</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杜英</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333</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333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红继木</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667</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667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临时堆土区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撒播草籽</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kg</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杜英</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350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350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红继木</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株</w:t>
            </w:r>
          </w:p>
        </w:tc>
        <w:tc>
          <w:tcPr>
            <w:tcW w:w="0" w:type="auto"/>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700</w:t>
            </w:r>
          </w:p>
        </w:tc>
        <w:tc>
          <w:tcPr>
            <w:tcW w:w="0" w:type="auto"/>
            <w:vAlign w:val="top"/>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700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临时措施</w:t>
            </w: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2632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2632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挡土板</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块</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1786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1786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沉砂池</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个</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防尘网</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1316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1316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附属设施区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118</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118</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沉砂池</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个</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防尘网</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m</w:t>
            </w:r>
            <w:r>
              <w:rPr>
                <w:rFonts w:hint="default" w:ascii="Times New Roman" w:hAnsi="Times New Roman" w:cs="Times New Roman"/>
                <w:color w:val="auto"/>
                <w:kern w:val="2"/>
                <w:sz w:val="21"/>
                <w:szCs w:val="21"/>
                <w:highlight w:val="none"/>
                <w:vertAlign w:val="superscript"/>
                <w:lang w:val="en-US" w:eastAsia="zh-CN" w:bidi="ar-SA"/>
              </w:rPr>
              <w:t>2</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390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390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弃渣回填区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151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151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取土场区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324</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324</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356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356</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施工便道区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100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100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挡土板</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块</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铺撒碎石子</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施工生产生活区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268</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268</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沉砂池</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个</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铺撒碎石子</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防尘网</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1637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1637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临时堆土区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239</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239</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75</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沉砂池</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个</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铺撒碎石子</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60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防尘网</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1637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1637</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bl>
    <w:p>
      <w:pPr>
        <w:pStyle w:val="8"/>
        <w:spacing w:before="82" w:line="364" w:lineRule="auto"/>
        <w:ind w:right="828"/>
        <w:rPr>
          <w:rFonts w:hint="default" w:ascii="Times New Roman" w:hAnsi="Times New Roman" w:cs="Times New Roman"/>
          <w:color w:val="auto"/>
          <w:highlight w:val="none"/>
        </w:rPr>
      </w:pP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本项目各项工程措施及植物措施实施完成后，能有效控制工程建设造成的水土流失，保证项目的安全运行，绿化、美化环境，恢复改善工程建设破坏的土地及植被。</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实施过程中以工程措施为先导，结合工程建设拦挡、排水、沉沙等措施，保护坡脚稳定，减少地表径流冲刷，使水土流失有效控制。在水土流失得到有效控制的前提下，通过对新生裸露地表进行土地整治、种植水保林草和绿化等措施，通过以上综合防治体系，达到保护地表、改善生态环境、防治水土流失、发挥植物措施的观赏性和长效性的目的。自建成投产至今运营期间，边坡稳定、排水通畅、植物生长良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eastAsia="zh-CN"/>
        </w:rPr>
        <w:sectPr>
          <w:headerReference r:id="rId21" w:type="default"/>
          <w:pgSz w:w="11910" w:h="16840"/>
          <w:pgMar w:top="1440" w:right="1440" w:bottom="1440" w:left="1440" w:header="882" w:footer="1054" w:gutter="0"/>
          <w:pgNumType w:fmt="decimal"/>
          <w:cols w:space="720" w:num="1"/>
        </w:sectPr>
      </w:pPr>
      <w:r>
        <w:rPr>
          <w:rFonts w:hint="default" w:ascii="Times New Roman" w:hAnsi="Times New Roman" w:cs="Times New Roman"/>
          <w:color w:val="auto"/>
          <w:highlight w:val="none"/>
        </w:rPr>
        <w:t>监测结果表明，工程建设中，采取了边坡防护、拦挡、排水、绿化等措施，各项水土保持措施的实施有效地防治了水土流失，达到了水土保持方案设计的治理目标</w:t>
      </w:r>
      <w:r>
        <w:rPr>
          <w:rFonts w:hint="default" w:ascii="Times New Roman" w:hAnsi="Times New Roman" w:cs="Times New Roman"/>
          <w:color w:val="auto"/>
          <w:highlight w:val="none"/>
          <w:lang w:eastAsia="zh-CN"/>
        </w:rPr>
        <w:t>。</w:t>
      </w:r>
    </w:p>
    <w:p>
      <w:pPr>
        <w:pStyle w:val="2"/>
        <w:bidi w:val="0"/>
        <w:rPr>
          <w:rFonts w:hint="default" w:ascii="Times New Roman" w:hAnsi="Times New Roman" w:cs="Times New Roman"/>
          <w:color w:val="auto"/>
          <w:highlight w:val="none"/>
          <w:lang w:val="en-US" w:eastAsia="zh-CN"/>
        </w:rPr>
      </w:pPr>
      <w:bookmarkStart w:id="291" w:name="_Toc25901"/>
      <w:bookmarkStart w:id="292" w:name="_Toc27152"/>
      <w:bookmarkStart w:id="293" w:name="_Toc1879"/>
      <w:r>
        <w:rPr>
          <w:rFonts w:hint="default" w:ascii="Times New Roman" w:hAnsi="Times New Roman" w:cs="Times New Roman"/>
          <w:color w:val="auto"/>
          <w:highlight w:val="none"/>
          <w:lang w:val="en-US" w:eastAsia="zh-CN"/>
        </w:rPr>
        <w:t>5 土壤流失情况监测</w:t>
      </w:r>
      <w:bookmarkEnd w:id="290"/>
      <w:bookmarkEnd w:id="291"/>
      <w:bookmarkEnd w:id="292"/>
      <w:bookmarkEnd w:id="293"/>
    </w:p>
    <w:p>
      <w:pPr>
        <w:pStyle w:val="3"/>
        <w:bidi w:val="0"/>
        <w:rPr>
          <w:rFonts w:hint="default" w:ascii="Times New Roman" w:hAnsi="Times New Roman" w:cs="Times New Roman"/>
          <w:color w:val="auto"/>
          <w:highlight w:val="none"/>
          <w:lang w:val="en-US" w:eastAsia="zh-CN"/>
        </w:rPr>
      </w:pPr>
      <w:bookmarkStart w:id="294" w:name="_Toc11427"/>
      <w:bookmarkStart w:id="295" w:name="_Toc25312"/>
      <w:bookmarkStart w:id="296" w:name="_Toc15601"/>
      <w:bookmarkStart w:id="297" w:name="_Toc22745"/>
      <w:r>
        <w:rPr>
          <w:rFonts w:hint="default" w:ascii="Times New Roman" w:hAnsi="Times New Roman" w:cs="Times New Roman"/>
          <w:color w:val="auto"/>
          <w:highlight w:val="none"/>
          <w:lang w:val="en-US" w:eastAsia="zh-CN"/>
        </w:rPr>
        <w:t>5.1 水土流失面积</w:t>
      </w:r>
      <w:bookmarkEnd w:id="294"/>
      <w:bookmarkEnd w:id="295"/>
      <w:bookmarkEnd w:id="296"/>
      <w:bookmarkEnd w:id="297"/>
    </w:p>
    <w:p>
      <w:pPr>
        <w:keepNext w:val="0"/>
        <w:keepLines w:val="0"/>
        <w:pageBreakBefore w:val="0"/>
        <w:widowControl w:val="0"/>
        <w:kinsoku/>
        <w:wordWrap/>
        <w:overflowPunct/>
        <w:topLinePunct w:val="0"/>
        <w:autoSpaceDE/>
        <w:autoSpaceDN/>
        <w:bidi w:val="0"/>
        <w:adjustRightInd/>
        <w:snapToGrid/>
        <w:spacing w:line="360" w:lineRule="auto"/>
        <w:ind w:firstLine="440" w:firstLineChars="200"/>
        <w:textAlignment w:val="auto"/>
        <w:rPr>
          <w:rFonts w:hint="default" w:ascii="Times New Roman" w:hAnsi="Times New Roman" w:cs="Times New Roman"/>
          <w:color w:val="auto"/>
          <w:spacing w:val="-30"/>
          <w:highlight w:val="none"/>
          <w:lang w:eastAsia="zh-CN"/>
        </w:rPr>
      </w:pPr>
      <w:r>
        <w:rPr>
          <w:rFonts w:hint="default" w:ascii="Times New Roman" w:hAnsi="Times New Roman" w:cs="Times New Roman"/>
          <w:color w:val="auto"/>
          <w:spacing w:val="-10"/>
          <w:highlight w:val="none"/>
        </w:rPr>
        <w:t xml:space="preserve">经监测统计，工程共扰动土地面积 </w:t>
      </w:r>
      <w:r>
        <w:rPr>
          <w:rFonts w:hint="default" w:ascii="Times New Roman" w:hAnsi="Times New Roman" w:cs="Times New Roman"/>
          <w:color w:val="auto"/>
          <w:spacing w:val="-10"/>
          <w:highlight w:val="none"/>
          <w:lang w:val="en-US" w:eastAsia="zh-CN"/>
        </w:rPr>
        <w:t>8.51</w:t>
      </w:r>
      <w:r>
        <w:rPr>
          <w:rFonts w:hint="default" w:ascii="Times New Roman" w:hAnsi="Times New Roman" w:eastAsia="Times New Roman" w:cs="Times New Roman"/>
          <w:color w:val="auto"/>
          <w:spacing w:val="-5"/>
          <w:highlight w:val="none"/>
        </w:rPr>
        <w:t>hm</w:t>
      </w:r>
      <w:r>
        <w:rPr>
          <w:rFonts w:hint="default" w:ascii="Times New Roman" w:hAnsi="Times New Roman" w:eastAsia="Times New Roman" w:cs="Times New Roman"/>
          <w:color w:val="auto"/>
          <w:spacing w:val="-5"/>
          <w:position w:val="9"/>
          <w:sz w:val="16"/>
          <w:highlight w:val="none"/>
        </w:rPr>
        <w:t>2</w:t>
      </w:r>
      <w:r>
        <w:rPr>
          <w:rFonts w:hint="default" w:ascii="Times New Roman" w:hAnsi="Times New Roman" w:cs="Times New Roman"/>
          <w:color w:val="auto"/>
          <w:spacing w:val="-7"/>
          <w:highlight w:val="none"/>
        </w:rPr>
        <w:t xml:space="preserve">，建设期水土流失面积为 </w:t>
      </w:r>
      <w:r>
        <w:rPr>
          <w:rFonts w:hint="default" w:ascii="Times New Roman" w:hAnsi="Times New Roman" w:cs="Times New Roman"/>
          <w:color w:val="auto"/>
          <w:spacing w:val="-7"/>
          <w:highlight w:val="none"/>
          <w:lang w:val="en-US" w:eastAsia="zh-CN"/>
        </w:rPr>
        <w:t>8.51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7"/>
          <w:highlight w:val="none"/>
        </w:rPr>
        <w:t>。各项</w:t>
      </w:r>
      <w:r>
        <w:rPr>
          <w:rFonts w:hint="default" w:ascii="Times New Roman" w:hAnsi="Times New Roman" w:cs="Times New Roman"/>
          <w:color w:val="auto"/>
          <w:spacing w:val="-10"/>
          <w:highlight w:val="none"/>
        </w:rPr>
        <w:t xml:space="preserve">工程完建后，建筑物及硬化面积为 </w:t>
      </w:r>
      <w:r>
        <w:rPr>
          <w:rFonts w:hint="default" w:ascii="Times New Roman" w:hAnsi="Times New Roman" w:cs="Times New Roman"/>
          <w:color w:val="auto"/>
          <w:spacing w:val="-10"/>
          <w:highlight w:val="none"/>
          <w:lang w:val="en-US" w:eastAsia="zh-CN"/>
        </w:rPr>
        <w:t>2.66</w:t>
      </w:r>
      <w:r>
        <w:rPr>
          <w:rFonts w:hint="default" w:ascii="Times New Roman" w:hAnsi="Times New Roman" w:eastAsia="Times New Roman" w:cs="Times New Roman"/>
          <w:color w:val="auto"/>
          <w:spacing w:val="-5"/>
          <w:highlight w:val="none"/>
        </w:rPr>
        <w:t>hm</w:t>
      </w:r>
      <w:r>
        <w:rPr>
          <w:rFonts w:hint="default" w:ascii="Times New Roman" w:hAnsi="Times New Roman" w:eastAsia="Times New Roman" w:cs="Times New Roman"/>
          <w:color w:val="auto"/>
          <w:spacing w:val="-5"/>
          <w:position w:val="9"/>
          <w:sz w:val="16"/>
          <w:highlight w:val="none"/>
        </w:rPr>
        <w:t>2</w:t>
      </w:r>
      <w:r>
        <w:rPr>
          <w:rFonts w:hint="default" w:ascii="Times New Roman" w:hAnsi="Times New Roman" w:cs="Times New Roman"/>
          <w:color w:val="auto"/>
          <w:spacing w:val="-6"/>
          <w:highlight w:val="none"/>
        </w:rPr>
        <w:t>，自然恢复期水土流失面积</w:t>
      </w:r>
      <w:r>
        <w:rPr>
          <w:rFonts w:hint="default" w:ascii="Times New Roman" w:hAnsi="Times New Roman" w:cs="Times New Roman"/>
          <w:color w:val="auto"/>
          <w:spacing w:val="-6"/>
          <w:highlight w:val="none"/>
          <w:lang w:val="en-US" w:eastAsia="zh-CN"/>
        </w:rPr>
        <w:t>为3.90</w:t>
      </w:r>
      <w:r>
        <w:rPr>
          <w:rFonts w:hint="default" w:ascii="Times New Roman" w:hAnsi="Times New Roman" w:eastAsia="Times New Roman" w:cs="Times New Roman"/>
          <w:color w:val="auto"/>
          <w:spacing w:val="-5"/>
          <w:highlight w:val="none"/>
        </w:rPr>
        <w:t>hm</w:t>
      </w:r>
      <w:r>
        <w:rPr>
          <w:rFonts w:hint="default" w:ascii="Times New Roman" w:hAnsi="Times New Roman" w:eastAsia="Times New Roman" w:cs="Times New Roman"/>
          <w:color w:val="auto"/>
          <w:spacing w:val="-5"/>
          <w:position w:val="9"/>
          <w:sz w:val="16"/>
          <w:highlight w:val="none"/>
        </w:rPr>
        <w:t>2</w:t>
      </w:r>
      <w:r>
        <w:rPr>
          <w:rFonts w:hint="default" w:ascii="Times New Roman" w:hAnsi="Times New Roman" w:cs="Times New Roman"/>
          <w:color w:val="auto"/>
          <w:spacing w:val="-7"/>
          <w:highlight w:val="none"/>
        </w:rPr>
        <w:t>，详见</w:t>
      </w:r>
      <w:r>
        <w:rPr>
          <w:rFonts w:hint="default" w:ascii="Times New Roman" w:hAnsi="Times New Roman" w:cs="Times New Roman"/>
          <w:color w:val="auto"/>
          <w:spacing w:val="-30"/>
          <w:highlight w:val="none"/>
        </w:rPr>
        <w:t xml:space="preserve">表 </w:t>
      </w:r>
      <w:r>
        <w:rPr>
          <w:rFonts w:hint="default" w:ascii="Times New Roman" w:hAnsi="Times New Roman" w:cs="Times New Roman"/>
          <w:color w:val="auto"/>
          <w:spacing w:val="-30"/>
          <w:highlight w:val="none"/>
          <w:lang w:eastAsia="zh-CN"/>
        </w:rPr>
        <w:t>。</w:t>
      </w:r>
    </w:p>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工程各阶段水土流失面积统计表</w:t>
      </w:r>
    </w:p>
    <w:tbl>
      <w:tblPr>
        <w:tblStyle w:val="20"/>
        <w:tblW w:w="8947"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8"/>
        <w:gridCol w:w="1869"/>
        <w:gridCol w:w="1961"/>
        <w:gridCol w:w="1704"/>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监测分区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建设期扰动面积</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24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建设期水土流失面积</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24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建筑物及硬化面积</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24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自然恢复期水土流失面积</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主体工程区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3.80</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3.80</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2.66</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附属设施区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1.41</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1.41</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弃渣回填区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取土场区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2.00</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2.00</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施工便道区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施工生产生活区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0.20</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0.20</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临时堆放区</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0.21</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0.21</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0.00</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8"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合计</w:t>
            </w:r>
          </w:p>
        </w:tc>
        <w:tc>
          <w:tcPr>
            <w:tcW w:w="1869"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8.51</w:t>
            </w:r>
          </w:p>
        </w:tc>
        <w:tc>
          <w:tcPr>
            <w:tcW w:w="1961"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8.51</w:t>
            </w:r>
          </w:p>
        </w:tc>
        <w:tc>
          <w:tcPr>
            <w:tcW w:w="1704"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2.66</w:t>
            </w:r>
          </w:p>
        </w:tc>
        <w:tc>
          <w:tcPr>
            <w:tcW w:w="1705" w:type="dxa"/>
            <w:vAlign w:val="center"/>
          </w:tcPr>
          <w:p>
            <w:pPr>
              <w:pStyle w:val="8"/>
              <w:keepNext w:val="0"/>
              <w:keepLines w:val="0"/>
              <w:pageBreakBefore w:val="0"/>
              <w:widowControl w:val="0"/>
              <w:tabs>
                <w:tab w:val="left" w:pos="1160"/>
                <w:tab w:val="left" w:pos="4880"/>
              </w:tabs>
              <w:kinsoku/>
              <w:wordWrap/>
              <w:overflowPunct/>
              <w:topLinePunct w:val="0"/>
              <w:autoSpaceDE/>
              <w:autoSpaceDN/>
              <w:bidi w:val="0"/>
              <w:adjustRightInd/>
              <w:snapToGrid/>
              <w:spacing w:after="24" w:line="360" w:lineRule="auto"/>
              <w:ind w:right="113"/>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3.90</w:t>
            </w:r>
          </w:p>
        </w:tc>
      </w:tr>
    </w:tbl>
    <w:p>
      <w:pPr>
        <w:pStyle w:val="3"/>
        <w:bidi w:val="0"/>
        <w:rPr>
          <w:rFonts w:hint="default" w:ascii="Times New Roman" w:hAnsi="Times New Roman" w:cs="Times New Roman"/>
          <w:color w:val="auto"/>
          <w:highlight w:val="none"/>
          <w:lang w:val="en-US" w:eastAsia="zh-CN"/>
        </w:rPr>
      </w:pPr>
      <w:bookmarkStart w:id="298" w:name="_Toc32440"/>
      <w:bookmarkStart w:id="299" w:name="_Toc24059"/>
      <w:bookmarkStart w:id="300" w:name="_Toc18853"/>
      <w:bookmarkStart w:id="301" w:name="_Toc32353"/>
      <w:r>
        <w:rPr>
          <w:rFonts w:hint="default" w:ascii="Times New Roman" w:hAnsi="Times New Roman" w:cs="Times New Roman"/>
          <w:color w:val="auto"/>
          <w:highlight w:val="none"/>
          <w:lang w:val="en-US" w:eastAsia="zh-CN"/>
        </w:rPr>
        <w:t>5.2 土壤流失量</w:t>
      </w:r>
      <w:bookmarkEnd w:id="298"/>
      <w:bookmarkEnd w:id="299"/>
      <w:bookmarkEnd w:id="300"/>
      <w:bookmarkEnd w:id="301"/>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 xml:space="preserve">5.2.1 </w:t>
      </w:r>
      <w:r>
        <w:rPr>
          <w:rFonts w:hint="default" w:ascii="Times New Roman" w:hAnsi="Times New Roman" w:cs="Times New Roman"/>
          <w:color w:val="auto"/>
          <w:highlight w:val="none"/>
        </w:rPr>
        <w:t>土壤侵蚀模数估测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（1）施工准备期前（原地貌）</w:t>
      </w:r>
    </w:p>
    <w:p>
      <w:pPr>
        <w:pStyle w:val="8"/>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rPr>
        <w:t>项目建设用地已由当地政府进行三通一平，根据现场调查，建设区原地貌侵蚀模数</w:t>
      </w:r>
      <w:r>
        <w:rPr>
          <w:rFonts w:hint="default" w:ascii="Times New Roman" w:hAnsi="Times New Roman" w:cs="Times New Roman"/>
          <w:color w:val="auto"/>
          <w:highlight w:val="none"/>
          <w:lang w:val="en-US" w:eastAsia="zh-CN"/>
        </w:rPr>
        <w:t>为：主体工程区、附属设施区386</w:t>
      </w:r>
      <w:r>
        <w:rPr>
          <w:rFonts w:hint="default" w:ascii="Times New Roman" w:hAnsi="Times New Roman" w:eastAsia="Times New Roman" w:cs="Times New Roman"/>
          <w:color w:val="auto"/>
          <w:highlight w:val="none"/>
        </w:rPr>
        <w:t>t/km</w:t>
      </w:r>
      <w:r>
        <w:rPr>
          <w:rFonts w:hint="default" w:ascii="Times New Roman" w:hAnsi="Times New Roman" w:eastAsia="Times New Roman" w:cs="Times New Roman"/>
          <w:color w:val="auto"/>
          <w:position w:val="9"/>
          <w:sz w:val="16"/>
          <w:szCs w:val="16"/>
          <w:highlight w:val="none"/>
        </w:rPr>
        <w:t>2</w:t>
      </w:r>
      <w:r>
        <w:rPr>
          <w:rFonts w:hint="default" w:ascii="Times New Roman" w:hAnsi="Times New Roman" w:eastAsia="Times New Roman" w:cs="Times New Roman"/>
          <w:b/>
          <w:bCs/>
          <w:color w:val="auto"/>
          <w:highlight w:val="none"/>
        </w:rPr>
        <w:t>·a</w:t>
      </w:r>
      <w:r>
        <w:rPr>
          <w:rFonts w:hint="default" w:ascii="Times New Roman" w:hAnsi="Times New Roman" w:eastAsia="宋体" w:cs="Times New Roman"/>
          <w:color w:val="auto"/>
          <w:highlight w:val="none"/>
          <w:lang w:eastAsia="zh-CN"/>
        </w:rPr>
        <w:t>，</w:t>
      </w:r>
      <w:r>
        <w:rPr>
          <w:rFonts w:hint="default" w:ascii="Times New Roman" w:hAnsi="Times New Roman" w:eastAsia="仿宋" w:cs="Times New Roman"/>
          <w:color w:val="auto"/>
          <w:highlight w:val="none"/>
          <w:lang w:val="en-US" w:eastAsia="zh-CN"/>
        </w:rPr>
        <w:t>弃渣回填区</w:t>
      </w:r>
      <w:r>
        <w:rPr>
          <w:rFonts w:hint="default" w:ascii="Times New Roman" w:hAnsi="Times New Roman" w:cs="Times New Roman"/>
          <w:color w:val="auto"/>
          <w:highlight w:val="none"/>
          <w:lang w:val="en-US" w:eastAsia="zh-CN"/>
        </w:rPr>
        <w:t>、取土场区、施工便道区、施工生产区、临时堆放区500</w:t>
      </w:r>
      <w:r>
        <w:rPr>
          <w:rFonts w:hint="default" w:ascii="Times New Roman" w:hAnsi="Times New Roman" w:eastAsia="Times New Roman" w:cs="Times New Roman"/>
          <w:color w:val="auto"/>
          <w:highlight w:val="none"/>
        </w:rPr>
        <w:t>t/km</w:t>
      </w:r>
      <w:r>
        <w:rPr>
          <w:rFonts w:hint="default" w:ascii="Times New Roman" w:hAnsi="Times New Roman" w:eastAsia="Times New Roman" w:cs="Times New Roman"/>
          <w:color w:val="auto"/>
          <w:position w:val="9"/>
          <w:sz w:val="16"/>
          <w:szCs w:val="16"/>
          <w:highlight w:val="none"/>
        </w:rPr>
        <w:t>2</w:t>
      </w:r>
      <w:r>
        <w:rPr>
          <w:rFonts w:hint="default" w:ascii="Times New Roman" w:hAnsi="Times New Roman" w:eastAsia="Times New Roman" w:cs="Times New Roman"/>
          <w:b/>
          <w:bCs/>
          <w:color w:val="auto"/>
          <w:highlight w:val="none"/>
        </w:rPr>
        <w:t>·</w:t>
      </w:r>
      <w:r>
        <w:rPr>
          <w:rFonts w:hint="default" w:ascii="Times New Roman" w:hAnsi="Times New Roman" w:eastAsia="Times New Roman" w:cs="Times New Roman"/>
          <w:color w:val="auto"/>
          <w:highlight w:val="none"/>
        </w:rPr>
        <w:t>a</w:t>
      </w:r>
      <w:r>
        <w:rPr>
          <w:rFonts w:hint="default" w:ascii="Times New Roman" w:hAnsi="Times New Roman" w:eastAsia="宋体" w:cs="Times New Roman"/>
          <w:color w:val="auto"/>
          <w:highlight w:val="none"/>
          <w:lang w:eastAsia="zh-CN"/>
        </w:rPr>
        <w:t>。</w:t>
      </w:r>
    </w:p>
    <w:p>
      <w:pPr>
        <w:pStyle w:val="8"/>
        <w:keepNext w:val="0"/>
        <w:keepLines w:val="0"/>
        <w:pageBreakBefore w:val="0"/>
        <w:widowControl w:val="0"/>
        <w:numPr>
          <w:ilvl w:val="0"/>
          <w:numId w:val="15"/>
        </w:numPr>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施工期含施工准备期</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根据施工特点，水土流失主要发生在主体工程区、取土场区。</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本工程施工时段为2016年10月～2017年6月，建设内容为土石方、排水施工等，各阶段扰动后的土壤侵蚀模数取全线整个施工过程的平均值，详见各防治分区土壤侵蚀模数表。</w:t>
      </w:r>
    </w:p>
    <w:p>
      <w:pPr>
        <w:pStyle w:val="8"/>
        <w:keepNext w:val="0"/>
        <w:keepLines w:val="0"/>
        <w:pageBreakBefore w:val="0"/>
        <w:widowControl w:val="0"/>
        <w:numPr>
          <w:ilvl w:val="0"/>
          <w:numId w:val="15"/>
        </w:numPr>
        <w:kinsoku/>
        <w:wordWrap/>
        <w:overflowPunct/>
        <w:topLinePunct w:val="0"/>
        <w:autoSpaceDE/>
        <w:autoSpaceDN/>
        <w:bidi w:val="0"/>
        <w:adjustRightInd/>
        <w:snapToGrid/>
        <w:spacing w:line="360" w:lineRule="auto"/>
        <w:ind w:left="0" w:leftChars="0" w:right="0" w:righ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植被恢复期</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firstLine="480" w:firstLineChars="200"/>
        <w:textAlignment w:val="auto"/>
        <w:rPr>
          <w:rFonts w:hint="default" w:ascii="Times New Roman" w:hAnsi="Times New Roman" w:eastAsia="宋体" w:cs="Times New Roman"/>
          <w:color w:val="auto"/>
          <w:highlight w:val="none"/>
          <w:lang w:val="en-US" w:eastAsia="zh-CN"/>
        </w:rPr>
      </w:pPr>
      <w:r>
        <w:rPr>
          <w:rFonts w:hint="default" w:ascii="Times New Roman" w:hAnsi="Times New Roman" w:cs="Times New Roman"/>
          <w:color w:val="auto"/>
          <w:highlight w:val="none"/>
          <w:lang w:val="en-US" w:eastAsia="zh-CN"/>
        </w:rPr>
        <w:t>施工完成后进入植被恢复期这时期</w:t>
      </w:r>
      <w:r>
        <w:rPr>
          <w:rFonts w:hint="default" w:ascii="Times New Roman" w:hAnsi="Times New Roman" w:cs="Times New Roman"/>
          <w:color w:val="auto"/>
          <w:spacing w:val="2"/>
          <w:highlight w:val="none"/>
        </w:rPr>
        <w:t>水土保持工程措施、植物措施实施进度较</w:t>
      </w:r>
      <w:r>
        <w:rPr>
          <w:rFonts w:hint="default" w:ascii="Times New Roman" w:hAnsi="Times New Roman" w:cs="Times New Roman"/>
          <w:color w:val="auto"/>
          <w:spacing w:val="-7"/>
          <w:highlight w:val="none"/>
        </w:rPr>
        <w:t>快，植被生长情况良好，植被恢复期侵蚀模数根据监测数据取值</w:t>
      </w:r>
      <w:r>
        <w:rPr>
          <w:rFonts w:hint="default" w:ascii="Times New Roman" w:hAnsi="Times New Roman" w:cs="Times New Roman"/>
          <w:color w:val="auto"/>
          <w:spacing w:val="-7"/>
          <w:highlight w:val="none"/>
          <w:lang w:eastAsia="zh-CN"/>
        </w:rPr>
        <w:t>，</w:t>
      </w:r>
      <w:r>
        <w:rPr>
          <w:rFonts w:hint="default" w:ascii="Times New Roman" w:hAnsi="Times New Roman" w:cs="Times New Roman"/>
          <w:color w:val="auto"/>
          <w:spacing w:val="-7"/>
          <w:highlight w:val="none"/>
          <w:lang w:val="en-US" w:eastAsia="zh-CN"/>
        </w:rPr>
        <w:t>其中主体工程区、附属设施区、施工便道区、弃渣场区、取土场区取2500</w:t>
      </w:r>
      <w:r>
        <w:rPr>
          <w:rFonts w:hint="default" w:ascii="Times New Roman" w:hAnsi="Times New Roman" w:eastAsia="Times New Roman" w:cs="Times New Roman"/>
          <w:color w:val="auto"/>
          <w:highlight w:val="none"/>
        </w:rPr>
        <w:t>t/km</w:t>
      </w:r>
      <w:r>
        <w:rPr>
          <w:rFonts w:hint="default" w:ascii="Times New Roman" w:hAnsi="Times New Roman" w:eastAsia="Times New Roman" w:cs="Times New Roman"/>
          <w:color w:val="auto"/>
          <w:position w:val="9"/>
          <w:sz w:val="16"/>
          <w:szCs w:val="16"/>
          <w:highlight w:val="none"/>
        </w:rPr>
        <w:t>2</w:t>
      </w:r>
      <w:r>
        <w:rPr>
          <w:rFonts w:hint="default" w:ascii="Times New Roman" w:hAnsi="Times New Roman" w:eastAsia="Times New Roman" w:cs="Times New Roman"/>
          <w:color w:val="auto"/>
          <w:highlight w:val="none"/>
        </w:rPr>
        <w:t>ꞏa</w:t>
      </w:r>
      <w:r>
        <w:rPr>
          <w:rFonts w:hint="default" w:ascii="Times New Roman" w:hAnsi="Times New Roman" w:eastAsia="宋体" w:cs="Times New Roman"/>
          <w:color w:val="auto"/>
          <w:highlight w:val="none"/>
          <w:lang w:eastAsia="zh-CN"/>
        </w:rPr>
        <w:t>，</w:t>
      </w:r>
      <w:r>
        <w:rPr>
          <w:rFonts w:hint="default" w:ascii="Times New Roman" w:hAnsi="Times New Roman" w:eastAsia="仿宋" w:cs="Times New Roman"/>
          <w:color w:val="auto"/>
          <w:highlight w:val="none"/>
          <w:lang w:val="en-US" w:eastAsia="zh-CN"/>
        </w:rPr>
        <w:t>施工生产生活区</w:t>
      </w:r>
      <w:r>
        <w:rPr>
          <w:rFonts w:hint="default" w:ascii="Times New Roman" w:hAnsi="Times New Roman" w:cs="Times New Roman"/>
          <w:color w:val="auto"/>
          <w:highlight w:val="none"/>
          <w:lang w:val="en-US" w:eastAsia="zh-CN"/>
        </w:rPr>
        <w:t>取3000</w:t>
      </w:r>
      <w:r>
        <w:rPr>
          <w:rFonts w:hint="default" w:ascii="Times New Roman" w:hAnsi="Times New Roman" w:eastAsia="Times New Roman" w:cs="Times New Roman"/>
          <w:color w:val="auto"/>
          <w:highlight w:val="none"/>
        </w:rPr>
        <w:t>t/km</w:t>
      </w:r>
      <w:r>
        <w:rPr>
          <w:rFonts w:hint="default" w:ascii="Times New Roman" w:hAnsi="Times New Roman" w:eastAsia="Times New Roman" w:cs="Times New Roman"/>
          <w:color w:val="auto"/>
          <w:position w:val="9"/>
          <w:sz w:val="16"/>
          <w:szCs w:val="16"/>
          <w:highlight w:val="none"/>
        </w:rPr>
        <w:t>2</w:t>
      </w:r>
      <w:r>
        <w:rPr>
          <w:rFonts w:hint="default" w:ascii="Times New Roman" w:hAnsi="Times New Roman" w:eastAsia="Times New Roman" w:cs="Times New Roman"/>
          <w:color w:val="auto"/>
          <w:highlight w:val="none"/>
        </w:rPr>
        <w:t>ꞏa</w:t>
      </w:r>
      <w:r>
        <w:rPr>
          <w:rFonts w:hint="default" w:ascii="Times New Roman" w:hAnsi="Times New Roman" w:eastAsia="宋体" w:cs="Times New Roman"/>
          <w:color w:val="auto"/>
          <w:highlight w:val="none"/>
          <w:lang w:eastAsia="zh-CN"/>
        </w:rPr>
        <w:t>，</w:t>
      </w:r>
      <w:r>
        <w:rPr>
          <w:rFonts w:hint="default" w:ascii="Times New Roman" w:hAnsi="Times New Roman" w:eastAsia="仿宋" w:cs="Times New Roman"/>
          <w:color w:val="auto"/>
          <w:highlight w:val="none"/>
          <w:lang w:val="en-US" w:eastAsia="zh-CN"/>
        </w:rPr>
        <w:t>临时堆放区</w:t>
      </w:r>
      <w:r>
        <w:rPr>
          <w:rFonts w:hint="default" w:ascii="Times New Roman" w:hAnsi="Times New Roman" w:eastAsia="宋体" w:cs="Times New Roman"/>
          <w:color w:val="auto"/>
          <w:highlight w:val="none"/>
          <w:lang w:val="en-US" w:eastAsia="zh-CN"/>
        </w:rPr>
        <w:t>2200</w:t>
      </w:r>
      <w:r>
        <w:rPr>
          <w:rFonts w:hint="default" w:ascii="Times New Roman" w:hAnsi="Times New Roman" w:eastAsia="Times New Roman" w:cs="Times New Roman"/>
          <w:color w:val="auto"/>
          <w:highlight w:val="none"/>
        </w:rPr>
        <w:t>t/km</w:t>
      </w:r>
      <w:r>
        <w:rPr>
          <w:rFonts w:hint="default" w:ascii="Times New Roman" w:hAnsi="Times New Roman" w:eastAsia="Times New Roman" w:cs="Times New Roman"/>
          <w:color w:val="auto"/>
          <w:position w:val="9"/>
          <w:sz w:val="16"/>
          <w:szCs w:val="16"/>
          <w:highlight w:val="none"/>
        </w:rPr>
        <w:t>2</w:t>
      </w:r>
      <w:r>
        <w:rPr>
          <w:rFonts w:hint="default" w:ascii="Times New Roman" w:hAnsi="Times New Roman" w:eastAsia="Times New Roman" w:cs="Times New Roman"/>
          <w:color w:val="auto"/>
          <w:highlight w:val="none"/>
        </w:rPr>
        <w:t>ꞏa</w:t>
      </w:r>
      <w:r>
        <w:rPr>
          <w:rFonts w:hint="default" w:ascii="Times New Roman" w:hAnsi="Times New Roman" w:eastAsia="宋体" w:cs="Times New Roman"/>
          <w:color w:val="auto"/>
          <w:highlight w:val="none"/>
          <w:lang w:eastAsia="zh-CN"/>
        </w:rPr>
        <w:t>。</w:t>
      </w:r>
    </w:p>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各防治分区土壤侵蚀模数表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监测分区</w:t>
            </w:r>
          </w:p>
        </w:tc>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原地貌</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施工期</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自然恢复期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386</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4500</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附属设施区</w:t>
            </w:r>
          </w:p>
        </w:tc>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386</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3500</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弃渣回填区</w:t>
            </w:r>
          </w:p>
        </w:tc>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500</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4500</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500</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4500</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500</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3500</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施工生产生活区</w:t>
            </w:r>
          </w:p>
        </w:tc>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500</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4000</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临时堆放区</w:t>
            </w:r>
          </w:p>
        </w:tc>
        <w:tc>
          <w:tcPr>
            <w:tcW w:w="2130"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500</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5000</w:t>
            </w:r>
          </w:p>
        </w:tc>
        <w:tc>
          <w:tcPr>
            <w:tcW w:w="2131"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right="0" w:rightChars="0"/>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2200</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5.2.2 土壤流失量检测结果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（1）施工期土壤流失量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各区域建筑</w:t>
      </w:r>
      <w:r>
        <w:rPr>
          <w:rFonts w:hint="default" w:ascii="Times New Roman" w:hAnsi="Times New Roman" w:cs="Times New Roman"/>
          <w:color w:val="auto"/>
          <w:highlight w:val="none"/>
        </w:rPr>
        <w:t>从开始建设到逐步建设完成、硬化</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 xml:space="preserve">根据估测得出本监测时段施工扰动后水土流失量 </w:t>
      </w:r>
      <w:r>
        <w:rPr>
          <w:rFonts w:hint="default" w:ascii="Times New Roman" w:hAnsi="Times New Roman" w:cs="Times New Roman"/>
          <w:color w:val="auto"/>
          <w:highlight w:val="none"/>
          <w:lang w:val="en-US" w:eastAsia="zh-CN"/>
        </w:rPr>
        <w:t>276</w:t>
      </w:r>
      <w:r>
        <w:rPr>
          <w:rFonts w:hint="default" w:ascii="Times New Roman" w:hAnsi="Times New Roman" w:eastAsia="Times New Roman" w:cs="Times New Roman"/>
          <w:color w:val="auto"/>
          <w:highlight w:val="none"/>
        </w:rPr>
        <w:t>t</w:t>
      </w:r>
      <w:r>
        <w:rPr>
          <w:rFonts w:hint="default" w:ascii="Times New Roman" w:hAnsi="Times New Roman" w:cs="Times New Roman"/>
          <w:color w:val="auto"/>
          <w:highlight w:val="none"/>
        </w:rPr>
        <w:t>，新增水土流失量</w:t>
      </w:r>
      <w:r>
        <w:rPr>
          <w:rFonts w:hint="default" w:ascii="Times New Roman" w:hAnsi="Times New Roman" w:cs="Times New Roman"/>
          <w:color w:val="auto"/>
          <w:highlight w:val="none"/>
          <w:lang w:val="en-US" w:eastAsia="zh-CN"/>
        </w:rPr>
        <w:t>379</w:t>
      </w:r>
      <w:r>
        <w:rPr>
          <w:rFonts w:hint="default" w:ascii="Times New Roman" w:hAnsi="Times New Roman" w:eastAsia="Times New Roman" w:cs="Times New Roman"/>
          <w:color w:val="auto"/>
          <w:highlight w:val="none"/>
        </w:rPr>
        <w:t>t</w:t>
      </w:r>
      <w:r>
        <w:rPr>
          <w:rFonts w:hint="default" w:ascii="Times New Roman" w:hAnsi="Times New Roman" w:cs="Times New Roman"/>
          <w:color w:val="auto"/>
          <w:highlight w:val="none"/>
        </w:rPr>
        <w:t>，土壤侵蚀量详见</w:t>
      </w:r>
      <w:r>
        <w:rPr>
          <w:rFonts w:hint="default" w:ascii="Times New Roman" w:hAnsi="Times New Roman" w:cs="Times New Roman"/>
          <w:color w:val="auto"/>
          <w:highlight w:val="none"/>
          <w:lang w:val="en-US" w:eastAsia="zh-CN"/>
        </w:rPr>
        <w:t>下</w:t>
      </w:r>
      <w:r>
        <w:rPr>
          <w:rFonts w:hint="default" w:ascii="Times New Roman" w:hAnsi="Times New Roman" w:cs="Times New Roman"/>
          <w:color w:val="auto"/>
          <w:highlight w:val="none"/>
        </w:rPr>
        <w:t>表</w:t>
      </w:r>
      <w:r>
        <w:rPr>
          <w:rFonts w:hint="default" w:ascii="Times New Roman" w:hAnsi="Times New Roman" w:cs="Times New Roman"/>
          <w:color w:val="auto"/>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施工期土壤侵蚀流失量</w:t>
      </w:r>
    </w:p>
    <w:tbl>
      <w:tblPr>
        <w:tblStyle w:val="20"/>
        <w:tblW w:w="90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908"/>
        <w:gridCol w:w="925"/>
        <w:gridCol w:w="1218"/>
        <w:gridCol w:w="994"/>
        <w:gridCol w:w="994"/>
        <w:gridCol w:w="857"/>
        <w:gridCol w:w="1046"/>
        <w:gridCol w:w="11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监测分区</w:t>
            </w:r>
          </w:p>
        </w:tc>
        <w:tc>
          <w:tcPr>
            <w:tcW w:w="925"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水土流失面积</w:t>
            </w:r>
          </w:p>
        </w:tc>
        <w:tc>
          <w:tcPr>
            <w:tcW w:w="121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时间（a）</w:t>
            </w:r>
          </w:p>
        </w:tc>
        <w:tc>
          <w:tcPr>
            <w:tcW w:w="1988"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侵蚀模数（</w:t>
            </w:r>
            <w:r>
              <w:rPr>
                <w:rFonts w:hint="default" w:ascii="Times New Roman" w:hAnsi="Times New Roman" w:eastAsia="Times New Roman" w:cs="Times New Roman"/>
                <w:color w:val="auto"/>
                <w:highlight w:val="none"/>
              </w:rPr>
              <w:t>t/km</w:t>
            </w:r>
            <w:r>
              <w:rPr>
                <w:rFonts w:hint="default" w:ascii="Times New Roman" w:hAnsi="Times New Roman" w:eastAsia="Times New Roman" w:cs="Times New Roman"/>
                <w:color w:val="auto"/>
                <w:position w:val="9"/>
                <w:sz w:val="16"/>
                <w:szCs w:val="16"/>
                <w:highlight w:val="none"/>
              </w:rPr>
              <w:t>2</w:t>
            </w:r>
            <w:r>
              <w:rPr>
                <w:rFonts w:hint="default" w:ascii="Times New Roman" w:hAnsi="Times New Roman" w:eastAsia="Times New Roman" w:cs="Times New Roman"/>
                <w:color w:val="auto"/>
                <w:highlight w:val="none"/>
              </w:rPr>
              <w:t>·a</w:t>
            </w:r>
            <w:r>
              <w:rPr>
                <w:rFonts w:hint="default" w:ascii="Times New Roman" w:hAnsi="Times New Roman" w:cs="Times New Roman"/>
                <w:color w:val="auto"/>
                <w:sz w:val="21"/>
                <w:szCs w:val="21"/>
                <w:highlight w:val="none"/>
                <w:vertAlign w:val="baseline"/>
                <w:lang w:val="en-US" w:eastAsia="zh-CN"/>
              </w:rPr>
              <w:t>）</w:t>
            </w:r>
          </w:p>
        </w:tc>
        <w:tc>
          <w:tcPr>
            <w:tcW w:w="305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水土流失量（t）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925"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2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原地貌</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扰动后</w:t>
            </w:r>
          </w:p>
        </w:tc>
        <w:tc>
          <w:tcPr>
            <w:tcW w:w="85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原地貌</w:t>
            </w:r>
          </w:p>
        </w:tc>
        <w:tc>
          <w:tcPr>
            <w:tcW w:w="10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扰动后</w:t>
            </w:r>
          </w:p>
        </w:tc>
        <w:tc>
          <w:tcPr>
            <w:tcW w:w="114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新增</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9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3.80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0.75</w:t>
            </w:r>
          </w:p>
        </w:tc>
        <w:tc>
          <w:tcPr>
            <w:tcW w:w="994"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386</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4500</w:t>
            </w:r>
          </w:p>
        </w:tc>
        <w:tc>
          <w:tcPr>
            <w:tcW w:w="85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17</w:t>
            </w:r>
          </w:p>
        </w:tc>
        <w:tc>
          <w:tcPr>
            <w:tcW w:w="10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128</w:t>
            </w:r>
          </w:p>
        </w:tc>
        <w:tc>
          <w:tcPr>
            <w:tcW w:w="114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156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附属设施区</w:t>
            </w:r>
          </w:p>
        </w:tc>
        <w:tc>
          <w:tcPr>
            <w:tcW w:w="9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0.75</w:t>
            </w:r>
          </w:p>
        </w:tc>
        <w:tc>
          <w:tcPr>
            <w:tcW w:w="994"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386</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3500</w:t>
            </w:r>
          </w:p>
        </w:tc>
        <w:tc>
          <w:tcPr>
            <w:tcW w:w="85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w:t>
            </w:r>
          </w:p>
        </w:tc>
        <w:tc>
          <w:tcPr>
            <w:tcW w:w="10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37</w:t>
            </w:r>
          </w:p>
        </w:tc>
        <w:tc>
          <w:tcPr>
            <w:tcW w:w="114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弃渣回填区</w:t>
            </w:r>
          </w:p>
        </w:tc>
        <w:tc>
          <w:tcPr>
            <w:tcW w:w="9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0.75</w:t>
            </w:r>
          </w:p>
        </w:tc>
        <w:tc>
          <w:tcPr>
            <w:tcW w:w="994"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500</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4500</w:t>
            </w:r>
          </w:p>
        </w:tc>
        <w:tc>
          <w:tcPr>
            <w:tcW w:w="85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w:t>
            </w:r>
          </w:p>
        </w:tc>
        <w:tc>
          <w:tcPr>
            <w:tcW w:w="10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28</w:t>
            </w:r>
          </w:p>
        </w:tc>
        <w:tc>
          <w:tcPr>
            <w:tcW w:w="114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9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0.75</w:t>
            </w:r>
          </w:p>
        </w:tc>
        <w:tc>
          <w:tcPr>
            <w:tcW w:w="994"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500</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4500</w:t>
            </w:r>
          </w:p>
        </w:tc>
        <w:tc>
          <w:tcPr>
            <w:tcW w:w="85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w:t>
            </w:r>
          </w:p>
        </w:tc>
        <w:tc>
          <w:tcPr>
            <w:tcW w:w="10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68</w:t>
            </w:r>
          </w:p>
        </w:tc>
        <w:tc>
          <w:tcPr>
            <w:tcW w:w="114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9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0.75</w:t>
            </w:r>
          </w:p>
        </w:tc>
        <w:tc>
          <w:tcPr>
            <w:tcW w:w="994"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500</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3500</w:t>
            </w:r>
          </w:p>
        </w:tc>
        <w:tc>
          <w:tcPr>
            <w:tcW w:w="85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10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114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施工生产生活区</w:t>
            </w:r>
          </w:p>
        </w:tc>
        <w:tc>
          <w:tcPr>
            <w:tcW w:w="9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0.75</w:t>
            </w:r>
          </w:p>
        </w:tc>
        <w:tc>
          <w:tcPr>
            <w:tcW w:w="994"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500</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4000</w:t>
            </w:r>
          </w:p>
        </w:tc>
        <w:tc>
          <w:tcPr>
            <w:tcW w:w="85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10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w:t>
            </w:r>
          </w:p>
        </w:tc>
        <w:tc>
          <w:tcPr>
            <w:tcW w:w="114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临时堆放区</w:t>
            </w:r>
          </w:p>
        </w:tc>
        <w:tc>
          <w:tcPr>
            <w:tcW w:w="9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0.75</w:t>
            </w:r>
          </w:p>
        </w:tc>
        <w:tc>
          <w:tcPr>
            <w:tcW w:w="994" w:type="dxa"/>
            <w:vAlign w:val="center"/>
          </w:tcPr>
          <w:p>
            <w:pPr>
              <w:pStyle w:val="8"/>
              <w:keepNext w:val="0"/>
              <w:keepLines w:val="0"/>
              <w:pageBreakBefore w:val="0"/>
              <w:widowControl w:val="0"/>
              <w:numPr>
                <w:ilvl w:val="0"/>
                <w:numId w:val="0"/>
              </w:numPr>
              <w:kinsoku/>
              <w:wordWrap/>
              <w:overflowPunct/>
              <w:topLinePunct w:val="0"/>
              <w:autoSpaceDE/>
              <w:autoSpaceDN/>
              <w:bidi w:val="0"/>
              <w:adjustRightInd/>
              <w:snapToGrid/>
              <w:spacing w:line="360" w:lineRule="auto"/>
              <w:ind w:left="0" w:leftChars="0" w:right="0" w:rightChars="0" w:firstLine="0" w:firstLineChars="0"/>
              <w:jc w:val="center"/>
              <w:textAlignment w:val="auto"/>
              <w:rPr>
                <w:rFonts w:hint="default" w:ascii="Times New Roman" w:hAnsi="Times New Roman" w:eastAsia="仿宋" w:cs="Times New Roman"/>
                <w:color w:val="auto"/>
                <w:kern w:val="2"/>
                <w:sz w:val="21"/>
                <w:szCs w:val="21"/>
                <w:highlight w:val="none"/>
                <w:vertAlign w:val="baseline"/>
                <w:lang w:val="en-US" w:eastAsia="zh-CN" w:bidi="zh-CN"/>
              </w:rPr>
            </w:pPr>
            <w:r>
              <w:rPr>
                <w:rFonts w:hint="default" w:ascii="Times New Roman" w:hAnsi="Times New Roman" w:cs="Times New Roman"/>
                <w:color w:val="auto"/>
                <w:sz w:val="21"/>
                <w:szCs w:val="21"/>
                <w:highlight w:val="none"/>
                <w:vertAlign w:val="baseline"/>
                <w:lang w:val="en-US" w:eastAsia="zh-CN"/>
              </w:rPr>
              <w:t>500</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5000</w:t>
            </w:r>
          </w:p>
        </w:tc>
        <w:tc>
          <w:tcPr>
            <w:tcW w:w="85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10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w:t>
            </w:r>
          </w:p>
        </w:tc>
        <w:tc>
          <w:tcPr>
            <w:tcW w:w="114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90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合计</w:t>
            </w:r>
          </w:p>
        </w:tc>
        <w:tc>
          <w:tcPr>
            <w:tcW w:w="9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85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55</w:t>
            </w:r>
          </w:p>
        </w:tc>
        <w:tc>
          <w:tcPr>
            <w:tcW w:w="104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276</w:t>
            </w:r>
          </w:p>
        </w:tc>
        <w:tc>
          <w:tcPr>
            <w:tcW w:w="1149"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379</w:t>
            </w:r>
          </w:p>
        </w:tc>
      </w:tr>
    </w:tbl>
    <w:p>
      <w:pPr>
        <w:keepNext w:val="0"/>
        <w:keepLines w:val="0"/>
        <w:pageBreakBefore w:val="0"/>
        <w:widowControl w:val="0"/>
        <w:numPr>
          <w:ilvl w:val="0"/>
          <w:numId w:val="16"/>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自然恢复期土壤流失量</w:t>
      </w:r>
    </w:p>
    <w:p>
      <w:pPr>
        <w:pStyle w:val="8"/>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根据监测数据，自然恢复期土壤侵蚀模数均已低于原地貌土壤侵蚀模数，故不计算自然恢复期土壤流失量。</w:t>
      </w:r>
    </w:p>
    <w:p>
      <w:pPr>
        <w:pStyle w:val="8"/>
        <w:spacing w:before="159" w:line="364" w:lineRule="auto"/>
        <w:ind w:left="238" w:right="834" w:firstLine="480"/>
        <w:rPr>
          <w:rFonts w:hint="default" w:ascii="Times New Roman" w:hAnsi="Times New Roman" w:cs="Times New Roman"/>
          <w:color w:val="auto"/>
          <w:highlight w:val="none"/>
        </w:rPr>
      </w:pP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综上所述，本项目</w:t>
      </w:r>
      <w:r>
        <w:rPr>
          <w:rFonts w:hint="default" w:ascii="Times New Roman" w:hAnsi="Times New Roman" w:cs="Times New Roman"/>
          <w:color w:val="auto"/>
          <w:spacing w:val="-8"/>
          <w:highlight w:val="none"/>
        </w:rPr>
        <w:t xml:space="preserve">监测期原地貌流失量 </w:t>
      </w:r>
      <w:r>
        <w:rPr>
          <w:rFonts w:hint="default" w:ascii="Times New Roman" w:hAnsi="Times New Roman" w:cs="Times New Roman"/>
          <w:color w:val="auto"/>
          <w:spacing w:val="-8"/>
          <w:highlight w:val="none"/>
          <w:lang w:val="en-US" w:eastAsia="zh-CN"/>
        </w:rPr>
        <w:t>55</w:t>
      </w:r>
      <w:r>
        <w:rPr>
          <w:rFonts w:hint="default" w:ascii="Times New Roman" w:hAnsi="Times New Roman" w:eastAsia="Times New Roman" w:cs="Times New Roman"/>
          <w:color w:val="auto"/>
          <w:spacing w:val="-5"/>
          <w:highlight w:val="none"/>
        </w:rPr>
        <w:t>t</w:t>
      </w:r>
      <w:r>
        <w:rPr>
          <w:rFonts w:hint="default" w:ascii="Times New Roman" w:hAnsi="Times New Roman" w:eastAsia="宋体" w:cs="Times New Roman"/>
          <w:color w:val="auto"/>
          <w:spacing w:val="-5"/>
          <w:highlight w:val="none"/>
        </w:rPr>
        <w:t>，</w:t>
      </w:r>
      <w:r>
        <w:rPr>
          <w:rFonts w:hint="default" w:ascii="Times New Roman" w:hAnsi="Times New Roman" w:cs="Times New Roman"/>
          <w:color w:val="auto"/>
          <w:spacing w:val="-5"/>
          <w:highlight w:val="none"/>
        </w:rPr>
        <w:t xml:space="preserve">施工扰动后水土流失量为 </w:t>
      </w:r>
      <w:r>
        <w:rPr>
          <w:rFonts w:hint="default" w:ascii="Times New Roman" w:hAnsi="Times New Roman" w:cs="Times New Roman"/>
          <w:color w:val="auto"/>
          <w:spacing w:val="-5"/>
          <w:highlight w:val="none"/>
          <w:lang w:val="en-US" w:eastAsia="zh-CN"/>
        </w:rPr>
        <w:t>276</w:t>
      </w:r>
      <w:r>
        <w:rPr>
          <w:rFonts w:hint="default" w:ascii="Times New Roman" w:hAnsi="Times New Roman" w:eastAsia="Times New Roman" w:cs="Times New Roman"/>
          <w:color w:val="auto"/>
          <w:spacing w:val="-5"/>
          <w:highlight w:val="none"/>
        </w:rPr>
        <w:t>t</w:t>
      </w:r>
      <w:r>
        <w:rPr>
          <w:rFonts w:hint="default" w:ascii="Times New Roman" w:hAnsi="Times New Roman" w:eastAsia="宋体" w:cs="Times New Roman"/>
          <w:color w:val="auto"/>
          <w:spacing w:val="-5"/>
          <w:highlight w:val="none"/>
        </w:rPr>
        <w:t>，</w:t>
      </w:r>
      <w:r>
        <w:rPr>
          <w:rFonts w:hint="default" w:ascii="Times New Roman" w:hAnsi="Times New Roman" w:cs="Times New Roman"/>
          <w:color w:val="auto"/>
          <w:spacing w:val="-8"/>
          <w:highlight w:val="none"/>
        </w:rPr>
        <w:t>新增</w:t>
      </w:r>
      <w:r>
        <w:rPr>
          <w:rFonts w:hint="default" w:ascii="Times New Roman" w:hAnsi="Times New Roman" w:cs="Times New Roman"/>
          <w:color w:val="auto"/>
          <w:spacing w:val="-10"/>
          <w:highlight w:val="none"/>
        </w:rPr>
        <w:t xml:space="preserve">水土流失量 </w:t>
      </w:r>
      <w:r>
        <w:rPr>
          <w:rFonts w:hint="default" w:ascii="Times New Roman" w:hAnsi="Times New Roman" w:cs="Times New Roman"/>
          <w:color w:val="auto"/>
          <w:spacing w:val="-10"/>
          <w:highlight w:val="none"/>
          <w:lang w:val="en-US" w:eastAsia="zh-CN"/>
        </w:rPr>
        <w:t>379</w:t>
      </w:r>
      <w:r>
        <w:rPr>
          <w:rFonts w:hint="default" w:ascii="Times New Roman" w:hAnsi="Times New Roman" w:eastAsia="Times New Roman" w:cs="Times New Roman"/>
          <w:color w:val="auto"/>
          <w:highlight w:val="none"/>
        </w:rPr>
        <w:t>t</w:t>
      </w:r>
      <w:r>
        <w:rPr>
          <w:rFonts w:hint="default" w:ascii="Times New Roman" w:hAnsi="Times New Roman" w:cs="Times New Roman"/>
          <w:color w:val="auto"/>
          <w:highlight w:val="none"/>
        </w:rPr>
        <w:t>。</w:t>
      </w:r>
    </w:p>
    <w:p>
      <w:pPr>
        <w:pStyle w:val="3"/>
        <w:bidi w:val="0"/>
        <w:rPr>
          <w:rFonts w:hint="default" w:ascii="Times New Roman" w:hAnsi="Times New Roman" w:cs="Times New Roman"/>
          <w:color w:val="auto"/>
          <w:highlight w:val="none"/>
          <w:lang w:val="en-US" w:eastAsia="zh-CN"/>
        </w:rPr>
      </w:pPr>
      <w:bookmarkStart w:id="302" w:name="_Toc6089"/>
      <w:bookmarkStart w:id="303" w:name="_Toc14200"/>
      <w:bookmarkStart w:id="304" w:name="_Toc19397"/>
      <w:bookmarkStart w:id="305" w:name="_Toc15882"/>
      <w:r>
        <w:rPr>
          <w:rFonts w:hint="default" w:ascii="Times New Roman" w:hAnsi="Times New Roman" w:cs="Times New Roman"/>
          <w:color w:val="auto"/>
          <w:highlight w:val="none"/>
          <w:lang w:val="en-US" w:eastAsia="zh-CN"/>
        </w:rPr>
        <w:t>5.3 取料、弃渣潜在土壤流失量</w:t>
      </w:r>
      <w:bookmarkEnd w:id="302"/>
      <w:bookmarkEnd w:id="303"/>
      <w:bookmarkEnd w:id="304"/>
      <w:bookmarkEnd w:id="305"/>
    </w:p>
    <w:p>
      <w:pPr>
        <w:pStyle w:val="8"/>
        <w:keepNext w:val="0"/>
        <w:keepLines w:val="0"/>
        <w:pageBreakBefore w:val="0"/>
        <w:widowControl w:val="0"/>
        <w:kinsoku/>
        <w:wordWrap/>
        <w:overflowPunct/>
        <w:topLinePunct w:val="0"/>
        <w:autoSpaceDE/>
        <w:autoSpaceDN/>
        <w:bidi w:val="0"/>
        <w:adjustRightInd/>
        <w:snapToGrid/>
        <w:spacing w:before="263" w:line="360" w:lineRule="auto"/>
        <w:ind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本项目场平工程由</w:t>
      </w:r>
      <w:r>
        <w:rPr>
          <w:rFonts w:hint="default" w:ascii="Times New Roman" w:hAnsi="Times New Roman" w:cs="Times New Roman"/>
          <w:color w:val="auto"/>
          <w:highlight w:val="none"/>
          <w:lang w:val="en-US" w:eastAsia="zh-CN"/>
        </w:rPr>
        <w:t>衡阳市城市建设投资有限公司</w:t>
      </w:r>
      <w:r>
        <w:rPr>
          <w:rFonts w:hint="default" w:ascii="Times New Roman" w:hAnsi="Times New Roman" w:cs="Times New Roman"/>
          <w:color w:val="auto"/>
          <w:highlight w:val="none"/>
        </w:rPr>
        <w:t>负责实施，借方由</w:t>
      </w:r>
      <w:r>
        <w:rPr>
          <w:rFonts w:hint="default" w:ascii="Times New Roman" w:hAnsi="Times New Roman" w:cs="Times New Roman"/>
          <w:color w:val="auto"/>
          <w:highlight w:val="none"/>
          <w:lang w:val="en-US" w:eastAsia="zh-CN"/>
        </w:rPr>
        <w:t>衡阳市城市建设投资有限公司</w:t>
      </w:r>
      <w:r>
        <w:rPr>
          <w:rFonts w:hint="default" w:ascii="Times New Roman" w:hAnsi="Times New Roman" w:cs="Times New Roman"/>
          <w:color w:val="auto"/>
          <w:highlight w:val="none"/>
        </w:rPr>
        <w:t>负责购买，在实际施工过程中，设置</w:t>
      </w:r>
      <w:r>
        <w:rPr>
          <w:rFonts w:hint="default" w:ascii="Times New Roman" w:hAnsi="Times New Roman" w:cs="Times New Roman"/>
          <w:color w:val="auto"/>
          <w:highlight w:val="none"/>
          <w:lang w:val="en-US" w:eastAsia="zh-CN"/>
        </w:rPr>
        <w:t>一处</w:t>
      </w:r>
      <w:r>
        <w:rPr>
          <w:rFonts w:hint="default" w:ascii="Times New Roman" w:hAnsi="Times New Roman" w:cs="Times New Roman"/>
          <w:color w:val="auto"/>
          <w:highlight w:val="none"/>
        </w:rPr>
        <w:t>取土场，存在潜在土壤流失量。</w:t>
      </w:r>
    </w:p>
    <w:p>
      <w:pPr>
        <w:pStyle w:val="8"/>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本工程施工过程中产生弃渣已由</w:t>
      </w:r>
      <w:r>
        <w:rPr>
          <w:rFonts w:hint="default" w:ascii="Times New Roman" w:hAnsi="Times New Roman" w:cs="Times New Roman"/>
          <w:color w:val="auto"/>
          <w:highlight w:val="none"/>
          <w:lang w:val="en-US" w:eastAsia="zh-CN"/>
        </w:rPr>
        <w:t>衡阳市城市建设投资有限公司</w:t>
      </w:r>
      <w:r>
        <w:rPr>
          <w:rFonts w:hint="default" w:ascii="Times New Roman" w:hAnsi="Times New Roman" w:cs="Times New Roman"/>
          <w:color w:val="auto"/>
          <w:highlight w:val="none"/>
        </w:rPr>
        <w:t>负责统一调运，设置</w:t>
      </w:r>
      <w:r>
        <w:rPr>
          <w:rFonts w:hint="default" w:ascii="Times New Roman" w:hAnsi="Times New Roman" w:cs="Times New Roman"/>
          <w:color w:val="auto"/>
          <w:highlight w:val="none"/>
          <w:lang w:val="en-US" w:eastAsia="zh-CN"/>
        </w:rPr>
        <w:t>一处</w:t>
      </w:r>
      <w:r>
        <w:rPr>
          <w:rFonts w:hint="default" w:ascii="Times New Roman" w:hAnsi="Times New Roman" w:cs="Times New Roman"/>
          <w:color w:val="auto"/>
          <w:highlight w:val="none"/>
        </w:rPr>
        <w:t>弃渣场，存在潜在土壤流失量。</w:t>
      </w:r>
    </w:p>
    <w:p>
      <w:pPr>
        <w:pStyle w:val="3"/>
        <w:bidi w:val="0"/>
        <w:rPr>
          <w:rFonts w:hint="default" w:ascii="Times New Roman" w:hAnsi="Times New Roman" w:cs="Times New Roman"/>
          <w:color w:val="auto"/>
          <w:highlight w:val="none"/>
          <w:lang w:val="en-US" w:eastAsia="zh-CN"/>
        </w:rPr>
      </w:pPr>
      <w:bookmarkStart w:id="306" w:name="_Toc11509"/>
      <w:bookmarkStart w:id="307" w:name="_Toc5223"/>
      <w:bookmarkStart w:id="308" w:name="_Toc6412"/>
      <w:bookmarkStart w:id="309" w:name="_Toc20119"/>
      <w:r>
        <w:rPr>
          <w:rFonts w:hint="default" w:ascii="Times New Roman" w:hAnsi="Times New Roman" w:cs="Times New Roman"/>
          <w:color w:val="auto"/>
          <w:highlight w:val="none"/>
          <w:lang w:val="en-US" w:eastAsia="zh-CN"/>
        </w:rPr>
        <w:t>5.4 水土流失危害</w:t>
      </w:r>
      <w:bookmarkEnd w:id="306"/>
      <w:bookmarkEnd w:id="307"/>
      <w:bookmarkEnd w:id="308"/>
      <w:bookmarkEnd w:id="309"/>
    </w:p>
    <w:p>
      <w:pPr>
        <w:pStyle w:val="8"/>
        <w:keepNext w:val="0"/>
        <w:keepLines w:val="0"/>
        <w:pageBreakBefore w:val="0"/>
        <w:widowControl w:val="0"/>
        <w:kinsoku/>
        <w:wordWrap/>
        <w:overflowPunct/>
        <w:topLinePunct w:val="0"/>
        <w:autoSpaceDE/>
        <w:autoSpaceDN/>
        <w:bidi w:val="0"/>
        <w:adjustRightInd/>
        <w:snapToGrid/>
        <w:spacing w:before="285" w:line="360" w:lineRule="auto"/>
        <w:ind w:right="834" w:firstLine="456"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6"/>
          <w:highlight w:val="none"/>
        </w:rPr>
        <w:t>工程建设过程中，建设单位较重视水土保持工作，成立水土保持工作领导小组，专</w:t>
      </w:r>
      <w:r>
        <w:rPr>
          <w:rFonts w:hint="default" w:ascii="Times New Roman" w:hAnsi="Times New Roman" w:cs="Times New Roman"/>
          <w:color w:val="auto"/>
          <w:spacing w:val="-7"/>
          <w:highlight w:val="none"/>
        </w:rPr>
        <w:t>人专责，制定相关规章制度，切实加强项目区水土流失防治工作。施工单位及监理单位</w:t>
      </w:r>
      <w:r>
        <w:rPr>
          <w:rFonts w:hint="default" w:ascii="Times New Roman" w:hAnsi="Times New Roman" w:cs="Times New Roman"/>
          <w:color w:val="auto"/>
          <w:highlight w:val="none"/>
        </w:rPr>
        <w:t>也按照建设单位要求，各司其职。</w:t>
      </w:r>
    </w:p>
    <w:p>
      <w:pPr>
        <w:pStyle w:val="8"/>
        <w:keepNext w:val="0"/>
        <w:keepLines w:val="0"/>
        <w:pageBreakBefore w:val="0"/>
        <w:widowControl w:val="0"/>
        <w:kinsoku/>
        <w:wordWrap/>
        <w:overflowPunct/>
        <w:topLinePunct w:val="0"/>
        <w:autoSpaceDE/>
        <w:autoSpaceDN/>
        <w:bidi w:val="0"/>
        <w:adjustRightInd/>
        <w:snapToGrid/>
        <w:spacing w:line="360" w:lineRule="auto"/>
        <w:ind w:right="833" w:firstLine="464"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4"/>
          <w:highlight w:val="none"/>
        </w:rPr>
        <w:t>施工过程中各施工区域通过采取不同的临时防护措施，有效的控制了施工过程中产</w:t>
      </w:r>
      <w:r>
        <w:rPr>
          <w:rFonts w:hint="default" w:ascii="Times New Roman" w:hAnsi="Times New Roman" w:cs="Times New Roman"/>
          <w:color w:val="auto"/>
          <w:spacing w:val="-7"/>
          <w:highlight w:val="none"/>
        </w:rPr>
        <w:t>生的水土流失，在建构筑物、道路修建过程中，同时进行砼排水沟的布设以及绿化区域</w:t>
      </w:r>
      <w:r>
        <w:rPr>
          <w:rFonts w:hint="default" w:ascii="Times New Roman" w:hAnsi="Times New Roman" w:cs="Times New Roman"/>
          <w:color w:val="auto"/>
          <w:highlight w:val="none"/>
        </w:rPr>
        <w:t>铺种草皮等绿化等措施的实施，缩短了水土流失的时间，减少了水土流失。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sectPr>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cs="Times New Roman"/>
          <w:color w:val="auto"/>
          <w:highlight w:val="none"/>
        </w:rPr>
        <w:t>通过调查，项目区内未发生水土流失危害事件</w:t>
      </w:r>
    </w:p>
    <w:p>
      <w:pPr>
        <w:pStyle w:val="2"/>
        <w:bidi w:val="0"/>
        <w:rPr>
          <w:rFonts w:hint="default" w:ascii="Times New Roman" w:hAnsi="Times New Roman" w:cs="Times New Roman"/>
          <w:color w:val="auto"/>
          <w:highlight w:val="none"/>
          <w:lang w:val="en-US" w:eastAsia="zh-CN"/>
        </w:rPr>
      </w:pPr>
      <w:bookmarkStart w:id="310" w:name="_Toc26946"/>
      <w:bookmarkStart w:id="311" w:name="_Toc688"/>
      <w:bookmarkStart w:id="312" w:name="_Toc3216"/>
      <w:bookmarkStart w:id="313" w:name="_Toc27547"/>
      <w:r>
        <w:rPr>
          <w:rFonts w:hint="default" w:ascii="Times New Roman" w:hAnsi="Times New Roman" w:cs="Times New Roman"/>
          <w:color w:val="auto"/>
          <w:highlight w:val="none"/>
          <w:lang w:val="en-US" w:eastAsia="zh-CN"/>
        </w:rPr>
        <w:t>6 水土流失防治效果检测结果</w:t>
      </w:r>
      <w:bookmarkEnd w:id="310"/>
      <w:bookmarkEnd w:id="311"/>
      <w:bookmarkEnd w:id="312"/>
      <w:bookmarkEnd w:id="313"/>
    </w:p>
    <w:p>
      <w:pPr>
        <w:pStyle w:val="3"/>
        <w:bidi w:val="0"/>
        <w:rPr>
          <w:rFonts w:hint="default" w:ascii="Times New Roman" w:hAnsi="Times New Roman" w:cs="Times New Roman"/>
          <w:color w:val="auto"/>
          <w:highlight w:val="none"/>
          <w:lang w:val="en-US" w:eastAsia="zh-CN"/>
        </w:rPr>
      </w:pPr>
      <w:bookmarkStart w:id="314" w:name="_Toc11278"/>
      <w:bookmarkStart w:id="315" w:name="_Toc10537"/>
      <w:bookmarkStart w:id="316" w:name="_Toc10782"/>
      <w:bookmarkStart w:id="317" w:name="_Toc23912"/>
      <w:r>
        <w:rPr>
          <w:rFonts w:hint="default" w:ascii="Times New Roman" w:hAnsi="Times New Roman" w:cs="Times New Roman"/>
          <w:color w:val="auto"/>
          <w:highlight w:val="none"/>
          <w:lang w:val="en-US" w:eastAsia="zh-CN"/>
        </w:rPr>
        <w:t>6.1 扰动土地整治率</w:t>
      </w:r>
      <w:bookmarkEnd w:id="314"/>
      <w:bookmarkEnd w:id="315"/>
      <w:bookmarkEnd w:id="316"/>
      <w:bookmarkEnd w:id="317"/>
    </w:p>
    <w:p>
      <w:pPr>
        <w:keepNext w:val="0"/>
        <w:keepLines w:val="0"/>
        <w:pageBreakBefore w:val="0"/>
        <w:widowControl w:val="0"/>
        <w:kinsoku/>
        <w:wordWrap/>
        <w:overflowPunct/>
        <w:topLinePunct w:val="0"/>
        <w:autoSpaceDE/>
        <w:autoSpaceDN/>
        <w:bidi w:val="0"/>
        <w:adjustRightInd/>
        <w:snapToGrid/>
        <w:spacing w:line="360" w:lineRule="auto"/>
        <w:ind w:firstLine="460" w:firstLineChars="200"/>
        <w:textAlignment w:val="auto"/>
        <w:rPr>
          <w:rFonts w:hint="default" w:ascii="Times New Roman" w:hAnsi="Times New Roman" w:cs="Times New Roman"/>
          <w:color w:val="auto"/>
          <w:spacing w:val="-6"/>
          <w:highlight w:val="none"/>
          <w:lang w:eastAsia="zh-CN"/>
        </w:rPr>
      </w:pPr>
      <w:r>
        <w:rPr>
          <w:rFonts w:hint="default" w:ascii="Times New Roman" w:hAnsi="Times New Roman" w:cs="Times New Roman"/>
          <w:color w:val="auto"/>
          <w:spacing w:val="-5"/>
          <w:highlight w:val="none"/>
        </w:rPr>
        <w:t>本项目实际扰动土地面积</w:t>
      </w:r>
      <w:r>
        <w:rPr>
          <w:rFonts w:hint="default" w:ascii="Times New Roman" w:hAnsi="Times New Roman" w:cs="Times New Roman"/>
          <w:color w:val="auto"/>
          <w:spacing w:val="-5"/>
          <w:highlight w:val="none"/>
          <w:lang w:val="en-US" w:eastAsia="zh-CN"/>
        </w:rPr>
        <w:t>为8.51</w:t>
      </w:r>
      <w:r>
        <w:rPr>
          <w:rFonts w:hint="default" w:ascii="Times New Roman" w:hAnsi="Times New Roman" w:eastAsia="Times New Roman" w:cs="Times New Roman"/>
          <w:color w:val="auto"/>
          <w:spacing w:val="-7"/>
          <w:highlight w:val="none"/>
        </w:rPr>
        <w:t>hm</w:t>
      </w:r>
      <w:r>
        <w:rPr>
          <w:rFonts w:hint="default" w:ascii="Times New Roman" w:hAnsi="Times New Roman" w:eastAsia="Times New Roman" w:cs="Times New Roman"/>
          <w:color w:val="auto"/>
          <w:spacing w:val="-7"/>
          <w:position w:val="9"/>
          <w:sz w:val="16"/>
          <w:highlight w:val="none"/>
        </w:rPr>
        <w:t>2</w:t>
      </w:r>
      <w:r>
        <w:rPr>
          <w:rFonts w:hint="default" w:ascii="Times New Roman" w:hAnsi="Times New Roman" w:cs="Times New Roman"/>
          <w:color w:val="auto"/>
          <w:spacing w:val="-7"/>
          <w:highlight w:val="none"/>
        </w:rPr>
        <w:t>，完成的扰动土地整治面积为</w:t>
      </w:r>
      <w:r>
        <w:rPr>
          <w:rFonts w:hint="default" w:ascii="Times New Roman" w:hAnsi="Times New Roman" w:cs="Times New Roman"/>
          <w:color w:val="auto"/>
          <w:spacing w:val="-7"/>
          <w:highlight w:val="none"/>
          <w:lang w:val="en-US" w:eastAsia="zh-CN"/>
        </w:rPr>
        <w:t>8.51</w:t>
      </w:r>
      <w:r>
        <w:rPr>
          <w:rFonts w:hint="default" w:ascii="Times New Roman" w:hAnsi="Times New Roman" w:eastAsia="Times New Roman" w:cs="Times New Roman"/>
          <w:color w:val="auto"/>
          <w:spacing w:val="-7"/>
          <w:highlight w:val="none"/>
        </w:rPr>
        <w:t>hm</w:t>
      </w:r>
      <w:r>
        <w:rPr>
          <w:rFonts w:hint="default" w:ascii="Times New Roman" w:hAnsi="Times New Roman" w:eastAsia="Times New Roman" w:cs="Times New Roman"/>
          <w:color w:val="auto"/>
          <w:spacing w:val="-7"/>
          <w:position w:val="9"/>
          <w:sz w:val="16"/>
          <w:highlight w:val="none"/>
        </w:rPr>
        <w:t>2</w:t>
      </w:r>
      <w:r>
        <w:rPr>
          <w:rFonts w:hint="default" w:ascii="Times New Roman" w:hAnsi="Times New Roman" w:cs="Times New Roman"/>
          <w:color w:val="auto"/>
          <w:spacing w:val="-3"/>
          <w:highlight w:val="none"/>
        </w:rPr>
        <w:t>，包括植物</w:t>
      </w:r>
      <w:r>
        <w:rPr>
          <w:rFonts w:hint="default" w:ascii="Times New Roman" w:hAnsi="Times New Roman" w:cs="Times New Roman"/>
          <w:color w:val="auto"/>
          <w:spacing w:val="-15"/>
          <w:highlight w:val="none"/>
        </w:rPr>
        <w:t xml:space="preserve">措施面积 </w:t>
      </w:r>
      <w:r>
        <w:rPr>
          <w:rFonts w:hint="default" w:ascii="Times New Roman" w:hAnsi="Times New Roman" w:eastAsia="Times New Roman" w:cs="Times New Roman"/>
          <w:color w:val="auto"/>
          <w:highlight w:val="none"/>
        </w:rPr>
        <w:t>1.98hm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8"/>
          <w:highlight w:val="none"/>
        </w:rPr>
        <w:t xml:space="preserve">，工程措施面积 </w:t>
      </w:r>
      <w:r>
        <w:rPr>
          <w:rFonts w:hint="default" w:ascii="Times New Roman" w:hAnsi="Times New Roman" w:eastAsia="Times New Roman" w:cs="Times New Roman"/>
          <w:color w:val="auto"/>
          <w:highlight w:val="none"/>
        </w:rPr>
        <w:t>0.23hm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highlight w:val="none"/>
        </w:rPr>
        <w:t>，各防治分区内建（构）</w:t>
      </w:r>
      <w:r>
        <w:rPr>
          <w:rFonts w:hint="default" w:ascii="Times New Roman" w:hAnsi="Times New Roman" w:cs="Times New Roman"/>
          <w:color w:val="auto"/>
          <w:spacing w:val="-2"/>
          <w:highlight w:val="none"/>
        </w:rPr>
        <w:t>筑物及场地、道路、</w:t>
      </w:r>
      <w:r>
        <w:rPr>
          <w:rFonts w:hint="default" w:ascii="Times New Roman" w:hAnsi="Times New Roman" w:cs="Times New Roman"/>
          <w:color w:val="auto"/>
          <w:spacing w:val="-8"/>
          <w:highlight w:val="none"/>
        </w:rPr>
        <w:t xml:space="preserve">硬化占地面积达 </w:t>
      </w:r>
      <w:r>
        <w:rPr>
          <w:rFonts w:hint="default" w:ascii="Times New Roman" w:hAnsi="Times New Roman" w:eastAsia="Times New Roman" w:cs="Times New Roman"/>
          <w:color w:val="auto"/>
          <w:spacing w:val="-3"/>
          <w:highlight w:val="none"/>
        </w:rPr>
        <w:t>5.02hm</w:t>
      </w:r>
      <w:r>
        <w:rPr>
          <w:rFonts w:hint="default" w:ascii="Times New Roman" w:hAnsi="Times New Roman" w:eastAsia="Times New Roman" w:cs="Times New Roman"/>
          <w:color w:val="auto"/>
          <w:spacing w:val="-3"/>
          <w:position w:val="9"/>
          <w:sz w:val="16"/>
          <w:highlight w:val="none"/>
        </w:rPr>
        <w:t>2</w:t>
      </w:r>
      <w:r>
        <w:rPr>
          <w:rFonts w:hint="default" w:ascii="Times New Roman" w:hAnsi="Times New Roman" w:cs="Times New Roman"/>
          <w:color w:val="auto"/>
          <w:spacing w:val="-6"/>
          <w:highlight w:val="none"/>
        </w:rPr>
        <w:t xml:space="preserve">，项目区平均扰动土地整治率为 </w:t>
      </w:r>
      <w:r>
        <w:rPr>
          <w:rFonts w:hint="default" w:ascii="Times New Roman" w:hAnsi="Times New Roman" w:eastAsia="Times New Roman" w:cs="Times New Roman"/>
          <w:color w:val="auto"/>
          <w:spacing w:val="-3"/>
          <w:highlight w:val="none"/>
        </w:rPr>
        <w:t>98.77%</w:t>
      </w:r>
      <w:r>
        <w:rPr>
          <w:rFonts w:hint="default" w:ascii="Times New Roman" w:hAnsi="Times New Roman" w:cs="Times New Roman"/>
          <w:color w:val="auto"/>
          <w:spacing w:val="-2"/>
          <w:highlight w:val="none"/>
        </w:rPr>
        <w:t>，达到方案防治标准的</w:t>
      </w:r>
      <w:r>
        <w:rPr>
          <w:rFonts w:hint="default" w:ascii="Times New Roman" w:hAnsi="Times New Roman" w:cs="Times New Roman"/>
          <w:color w:val="auto"/>
          <w:spacing w:val="-6"/>
          <w:highlight w:val="none"/>
        </w:rPr>
        <w:t>要求。本工程扰动土地整治情况分析见表</w:t>
      </w:r>
      <w:r>
        <w:rPr>
          <w:rFonts w:hint="default" w:ascii="Times New Roman" w:hAnsi="Times New Roman" w:cs="Times New Roman"/>
          <w:color w:val="auto"/>
          <w:spacing w:val="-6"/>
          <w:highlight w:val="none"/>
          <w:lang w:eastAsia="zh-CN"/>
        </w:rPr>
        <w:t>。</w:t>
      </w:r>
    </w:p>
    <w:p>
      <w:pPr>
        <w:pStyle w:val="8"/>
        <w:spacing w:before="125" w:after="25"/>
        <w:ind w:left="3573"/>
        <w:rPr>
          <w:rFonts w:hint="default" w:ascii="Times New Roman" w:hAnsi="Times New Roman" w:cs="Times New Roman"/>
          <w:color w:val="auto"/>
          <w:highlight w:val="none"/>
        </w:rPr>
      </w:pPr>
      <w:r>
        <w:rPr>
          <w:rFonts w:hint="default" w:ascii="Times New Roman" w:hAnsi="Times New Roman" w:cs="Times New Roman"/>
          <w:color w:val="auto"/>
          <w:highlight w:val="none"/>
        </w:rPr>
        <w:t>扰动土地整治率</w:t>
      </w:r>
    </w:p>
    <w:tbl>
      <w:tblPr>
        <w:tblStyle w:val="19"/>
        <w:tblW w:w="904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44"/>
        <w:gridCol w:w="1026"/>
        <w:gridCol w:w="1026"/>
        <w:gridCol w:w="1025"/>
        <w:gridCol w:w="1025"/>
        <w:gridCol w:w="1025"/>
        <w:gridCol w:w="1030"/>
        <w:gridCol w:w="10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844" w:type="dxa"/>
            <w:vMerge w:val="restart"/>
          </w:tcPr>
          <w:p>
            <w:pPr>
              <w:pStyle w:val="24"/>
              <w:jc w:val="left"/>
              <w:rPr>
                <w:rFonts w:hint="default" w:ascii="Times New Roman" w:hAnsi="Times New Roman" w:cs="Times New Roman"/>
                <w:color w:val="auto"/>
                <w:sz w:val="20"/>
                <w:highlight w:val="none"/>
              </w:rPr>
            </w:pPr>
          </w:p>
          <w:p>
            <w:pPr>
              <w:pStyle w:val="24"/>
              <w:spacing w:before="6"/>
              <w:jc w:val="left"/>
              <w:rPr>
                <w:rFonts w:hint="default" w:ascii="Times New Roman" w:hAnsi="Times New Roman" w:cs="Times New Roman"/>
                <w:color w:val="auto"/>
                <w:sz w:val="23"/>
                <w:highlight w:val="none"/>
              </w:rPr>
            </w:pPr>
          </w:p>
          <w:p>
            <w:pPr>
              <w:pStyle w:val="24"/>
              <w:spacing w:before="1"/>
              <w:ind w:left="375" w:right="367"/>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分区</w:t>
            </w:r>
          </w:p>
        </w:tc>
        <w:tc>
          <w:tcPr>
            <w:tcW w:w="1026" w:type="dxa"/>
            <w:vMerge w:val="restart"/>
          </w:tcPr>
          <w:p>
            <w:pPr>
              <w:pStyle w:val="24"/>
              <w:jc w:val="left"/>
              <w:rPr>
                <w:rFonts w:hint="default" w:ascii="Times New Roman" w:hAnsi="Times New Roman" w:cs="Times New Roman"/>
                <w:color w:val="auto"/>
                <w:sz w:val="20"/>
                <w:highlight w:val="none"/>
              </w:rPr>
            </w:pPr>
          </w:p>
          <w:p>
            <w:pPr>
              <w:pStyle w:val="24"/>
              <w:spacing w:before="164" w:line="242" w:lineRule="auto"/>
              <w:ind w:left="406" w:right="187" w:hanging="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占地面积</w:t>
            </w:r>
          </w:p>
        </w:tc>
        <w:tc>
          <w:tcPr>
            <w:tcW w:w="1026" w:type="dxa"/>
            <w:vMerge w:val="restart"/>
          </w:tcPr>
          <w:p>
            <w:pPr>
              <w:pStyle w:val="24"/>
              <w:jc w:val="left"/>
              <w:rPr>
                <w:rFonts w:hint="default" w:ascii="Times New Roman" w:hAnsi="Times New Roman" w:cs="Times New Roman"/>
                <w:color w:val="auto"/>
                <w:sz w:val="20"/>
                <w:highlight w:val="none"/>
              </w:rPr>
            </w:pPr>
          </w:p>
          <w:p>
            <w:pPr>
              <w:pStyle w:val="24"/>
              <w:spacing w:before="164" w:line="242" w:lineRule="auto"/>
              <w:ind w:left="406" w:right="187" w:hanging="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扰动面积</w:t>
            </w:r>
          </w:p>
        </w:tc>
        <w:tc>
          <w:tcPr>
            <w:tcW w:w="4105" w:type="dxa"/>
            <w:gridSpan w:val="4"/>
          </w:tcPr>
          <w:p>
            <w:pPr>
              <w:pStyle w:val="24"/>
              <w:spacing w:before="8" w:line="259" w:lineRule="exact"/>
              <w:ind w:left="1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扰动土地治理面积</w:t>
            </w:r>
          </w:p>
        </w:tc>
        <w:tc>
          <w:tcPr>
            <w:tcW w:w="1044" w:type="dxa"/>
            <w:vMerge w:val="restart"/>
          </w:tcPr>
          <w:p>
            <w:pPr>
              <w:pStyle w:val="24"/>
              <w:spacing w:before="3"/>
              <w:jc w:val="left"/>
              <w:rPr>
                <w:rFonts w:hint="default" w:ascii="Times New Roman" w:hAnsi="Times New Roman" w:cs="Times New Roman"/>
                <w:color w:val="auto"/>
                <w:sz w:val="22"/>
                <w:highlight w:val="none"/>
              </w:rPr>
            </w:pPr>
          </w:p>
          <w:p>
            <w:pPr>
              <w:pStyle w:val="24"/>
              <w:spacing w:line="242" w:lineRule="auto"/>
              <w:ind w:left="204" w:right="197"/>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扰动土地整治率%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1844" w:type="dxa"/>
            <w:vMerge w:val="continue"/>
            <w:tcBorders>
              <w:top w:val="nil"/>
            </w:tcBorders>
          </w:tcPr>
          <w:p>
            <w:pPr>
              <w:rPr>
                <w:rFonts w:hint="default" w:ascii="Times New Roman" w:hAnsi="Times New Roman" w:cs="Times New Roman"/>
                <w:color w:val="auto"/>
                <w:sz w:val="2"/>
                <w:szCs w:val="2"/>
                <w:highlight w:val="none"/>
              </w:rPr>
            </w:pPr>
          </w:p>
        </w:tc>
        <w:tc>
          <w:tcPr>
            <w:tcW w:w="1026" w:type="dxa"/>
            <w:vMerge w:val="continue"/>
            <w:tcBorders>
              <w:top w:val="nil"/>
            </w:tcBorders>
          </w:tcPr>
          <w:p>
            <w:pPr>
              <w:rPr>
                <w:rFonts w:hint="default" w:ascii="Times New Roman" w:hAnsi="Times New Roman" w:cs="Times New Roman"/>
                <w:color w:val="auto"/>
                <w:sz w:val="2"/>
                <w:szCs w:val="2"/>
                <w:highlight w:val="none"/>
              </w:rPr>
            </w:pPr>
          </w:p>
        </w:tc>
        <w:tc>
          <w:tcPr>
            <w:tcW w:w="1026" w:type="dxa"/>
            <w:vMerge w:val="continue"/>
            <w:tcBorders>
              <w:top w:val="nil"/>
            </w:tcBorders>
          </w:tcPr>
          <w:p>
            <w:pPr>
              <w:rPr>
                <w:rFonts w:hint="default" w:ascii="Times New Roman" w:hAnsi="Times New Roman" w:cs="Times New Roman"/>
                <w:color w:val="auto"/>
                <w:sz w:val="2"/>
                <w:szCs w:val="2"/>
                <w:highlight w:val="none"/>
              </w:rPr>
            </w:pPr>
          </w:p>
        </w:tc>
        <w:tc>
          <w:tcPr>
            <w:tcW w:w="1025" w:type="dxa"/>
          </w:tcPr>
          <w:p>
            <w:pPr>
              <w:pStyle w:val="24"/>
              <w:spacing w:before="3"/>
              <w:jc w:val="left"/>
              <w:rPr>
                <w:rFonts w:hint="default" w:ascii="Times New Roman" w:hAnsi="Times New Roman" w:cs="Times New Roman"/>
                <w:color w:val="auto"/>
                <w:sz w:val="21"/>
                <w:highlight w:val="none"/>
              </w:rPr>
            </w:pPr>
          </w:p>
          <w:p>
            <w:pPr>
              <w:pStyle w:val="24"/>
              <w:spacing w:line="242" w:lineRule="auto"/>
              <w:ind w:left="405" w:right="187" w:hanging="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植物措施</w:t>
            </w:r>
          </w:p>
        </w:tc>
        <w:tc>
          <w:tcPr>
            <w:tcW w:w="1025" w:type="dxa"/>
          </w:tcPr>
          <w:p>
            <w:pPr>
              <w:pStyle w:val="24"/>
              <w:spacing w:before="3"/>
              <w:jc w:val="left"/>
              <w:rPr>
                <w:rFonts w:hint="default" w:ascii="Times New Roman" w:hAnsi="Times New Roman" w:cs="Times New Roman"/>
                <w:color w:val="auto"/>
                <w:sz w:val="21"/>
                <w:highlight w:val="none"/>
              </w:rPr>
            </w:pPr>
          </w:p>
          <w:p>
            <w:pPr>
              <w:pStyle w:val="24"/>
              <w:spacing w:line="242" w:lineRule="auto"/>
              <w:ind w:left="405" w:right="187" w:hanging="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工程措施</w:t>
            </w:r>
          </w:p>
        </w:tc>
        <w:tc>
          <w:tcPr>
            <w:tcW w:w="1025" w:type="dxa"/>
          </w:tcPr>
          <w:p>
            <w:pPr>
              <w:pStyle w:val="24"/>
              <w:spacing w:line="240" w:lineRule="auto"/>
              <w:ind w:left="196" w:right="186"/>
              <w:jc w:val="center"/>
              <w:rPr>
                <w:rFonts w:hint="default" w:ascii="Times New Roman" w:hAnsi="Times New Roman" w:cs="Times New Roman"/>
                <w:color w:val="auto"/>
                <w:sz w:val="21"/>
                <w:highlight w:val="none"/>
              </w:rPr>
            </w:pPr>
            <w:r>
              <w:rPr>
                <w:rFonts w:hint="default" w:ascii="Times New Roman" w:hAnsi="Times New Roman" w:cs="Times New Roman"/>
                <w:color w:val="auto"/>
                <w:spacing w:val="-6"/>
                <w:sz w:val="21"/>
                <w:highlight w:val="none"/>
              </w:rPr>
              <w:t>建筑物及场地道路硬</w:t>
            </w:r>
          </w:p>
          <w:p>
            <w:pPr>
              <w:pStyle w:val="24"/>
              <w:spacing w:before="1" w:line="240" w:lineRule="auto"/>
              <w:ind w:left="196"/>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化面积</w:t>
            </w:r>
          </w:p>
        </w:tc>
        <w:tc>
          <w:tcPr>
            <w:tcW w:w="1030" w:type="dxa"/>
          </w:tcPr>
          <w:p>
            <w:pPr>
              <w:pStyle w:val="24"/>
              <w:jc w:val="left"/>
              <w:rPr>
                <w:rFonts w:hint="default" w:ascii="Times New Roman" w:hAnsi="Times New Roman" w:cs="Times New Roman"/>
                <w:color w:val="auto"/>
                <w:sz w:val="20"/>
                <w:highlight w:val="none"/>
              </w:rPr>
            </w:pPr>
          </w:p>
          <w:p>
            <w:pPr>
              <w:pStyle w:val="24"/>
              <w:spacing w:before="152"/>
              <w:ind w:left="303"/>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小计</w:t>
            </w:r>
          </w:p>
        </w:tc>
        <w:tc>
          <w:tcPr>
            <w:tcW w:w="1044" w:type="dxa"/>
            <w:vMerge w:val="continue"/>
            <w:tcBorders>
              <w:top w:val="nil"/>
            </w:tcBorders>
          </w:tcPr>
          <w:p>
            <w:pPr>
              <w:rPr>
                <w:rFonts w:hint="default" w:ascii="Times New Roman" w:hAnsi="Times New Roman" w:cs="Times New Roman"/>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主体工程区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3.80</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zh-CN" w:eastAsia="zh-CN" w:bidi="ar-SA"/>
              </w:rPr>
            </w:pPr>
            <w:r>
              <w:rPr>
                <w:rFonts w:hint="default" w:ascii="Times New Roman" w:hAnsi="Times New Roman" w:cs="Times New Roman"/>
                <w:color w:val="auto"/>
                <w:sz w:val="21"/>
                <w:szCs w:val="21"/>
                <w:highlight w:val="none"/>
                <w:vertAlign w:val="baseline"/>
                <w:lang w:val="en-US" w:eastAsia="zh-CN"/>
              </w:rPr>
              <w:t>3.80</w:t>
            </w:r>
          </w:p>
        </w:tc>
        <w:tc>
          <w:tcPr>
            <w:tcW w:w="1025" w:type="dxa"/>
            <w:vAlign w:val="center"/>
          </w:tcPr>
          <w:p>
            <w:pPr>
              <w:pStyle w:val="24"/>
              <w:spacing w:line="240"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1.13</w:t>
            </w:r>
          </w:p>
        </w:tc>
        <w:tc>
          <w:tcPr>
            <w:tcW w:w="1025" w:type="dxa"/>
            <w:vAlign w:val="center"/>
          </w:tcPr>
          <w:p>
            <w:pPr>
              <w:pStyle w:val="24"/>
              <w:spacing w:line="240" w:lineRule="exact"/>
              <w:ind w:left="304" w:right="299"/>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0.00</w:t>
            </w:r>
          </w:p>
        </w:tc>
        <w:tc>
          <w:tcPr>
            <w:tcW w:w="1025" w:type="dxa"/>
            <w:vAlign w:val="center"/>
          </w:tcPr>
          <w:p>
            <w:pPr>
              <w:pStyle w:val="24"/>
              <w:spacing w:line="240" w:lineRule="exact"/>
              <w:ind w:left="328"/>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2.66</w:t>
            </w:r>
          </w:p>
        </w:tc>
        <w:tc>
          <w:tcPr>
            <w:tcW w:w="1030" w:type="dxa"/>
            <w:vAlign w:val="center"/>
          </w:tcPr>
          <w:p>
            <w:pPr>
              <w:pStyle w:val="24"/>
              <w:spacing w:line="240"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3.78</w:t>
            </w:r>
          </w:p>
        </w:tc>
        <w:tc>
          <w:tcPr>
            <w:tcW w:w="1044" w:type="dxa"/>
            <w:vAlign w:val="center"/>
          </w:tcPr>
          <w:p>
            <w:pPr>
              <w:pStyle w:val="24"/>
              <w:spacing w:line="240"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99.47%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附属设施区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zh-CN" w:eastAsia="zh-CN" w:bidi="ar-SA"/>
              </w:rPr>
            </w:pPr>
            <w:r>
              <w:rPr>
                <w:rFonts w:hint="default" w:ascii="Times New Roman" w:hAnsi="Times New Roman" w:cs="Times New Roman"/>
                <w:color w:val="auto"/>
                <w:sz w:val="21"/>
                <w:szCs w:val="21"/>
                <w:highlight w:val="none"/>
                <w:vertAlign w:val="baseline"/>
                <w:lang w:val="en-US" w:eastAsia="zh-CN"/>
              </w:rPr>
              <w:t>1.41</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1.34</w:t>
            </w:r>
          </w:p>
        </w:tc>
        <w:tc>
          <w:tcPr>
            <w:tcW w:w="1025" w:type="dxa"/>
            <w:vAlign w:val="center"/>
          </w:tcPr>
          <w:p>
            <w:pPr>
              <w:pStyle w:val="24"/>
              <w:jc w:val="center"/>
              <w:rPr>
                <w:rFonts w:hint="default" w:ascii="Times New Roman" w:hAnsi="Times New Roman" w:eastAsia="仿宋" w:cs="Times New Roman"/>
                <w:color w:val="auto"/>
                <w:sz w:val="20"/>
                <w:highlight w:val="none"/>
                <w:lang w:val="en-US" w:eastAsia="zh-CN"/>
              </w:rPr>
            </w:pPr>
            <w:r>
              <w:rPr>
                <w:rFonts w:hint="default" w:ascii="Times New Roman" w:hAnsi="Times New Roman" w:cs="Times New Roman"/>
                <w:color w:val="auto"/>
                <w:sz w:val="20"/>
                <w:highlight w:val="none"/>
                <w:lang w:val="en-US" w:eastAsia="zh-CN"/>
              </w:rPr>
              <w:t>0.00</w:t>
            </w:r>
          </w:p>
        </w:tc>
        <w:tc>
          <w:tcPr>
            <w:tcW w:w="1025" w:type="dxa"/>
            <w:vAlign w:val="center"/>
          </w:tcPr>
          <w:p>
            <w:pPr>
              <w:pStyle w:val="24"/>
              <w:spacing w:line="241" w:lineRule="exact"/>
              <w:ind w:left="328"/>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0.00</w:t>
            </w:r>
          </w:p>
        </w:tc>
        <w:tc>
          <w:tcPr>
            <w:tcW w:w="1030" w:type="dxa"/>
            <w:vAlign w:val="center"/>
          </w:tcPr>
          <w:p>
            <w:pPr>
              <w:pStyle w:val="24"/>
              <w:spacing w:line="241"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1.41</w:t>
            </w:r>
          </w:p>
        </w:tc>
        <w:tc>
          <w:tcPr>
            <w:tcW w:w="1044" w:type="dxa"/>
            <w:vAlign w:val="center"/>
          </w:tcPr>
          <w:p>
            <w:pPr>
              <w:pStyle w:val="24"/>
              <w:spacing w:line="241"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弃渣回填区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zh-CN"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1025" w:type="dxa"/>
            <w:vAlign w:val="center"/>
          </w:tcPr>
          <w:p>
            <w:pPr>
              <w:pStyle w:val="24"/>
              <w:spacing w:line="240"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0.81</w:t>
            </w:r>
          </w:p>
        </w:tc>
        <w:tc>
          <w:tcPr>
            <w:tcW w:w="1025" w:type="dxa"/>
            <w:vAlign w:val="center"/>
          </w:tcPr>
          <w:p>
            <w:pPr>
              <w:pStyle w:val="24"/>
              <w:jc w:val="center"/>
              <w:rPr>
                <w:rFonts w:hint="default" w:ascii="Times New Roman" w:hAnsi="Times New Roman" w:eastAsia="仿宋" w:cs="Times New Roman"/>
                <w:color w:val="auto"/>
                <w:sz w:val="20"/>
                <w:highlight w:val="none"/>
                <w:lang w:val="en-US" w:eastAsia="zh-CN"/>
              </w:rPr>
            </w:pPr>
            <w:r>
              <w:rPr>
                <w:rFonts w:hint="default" w:ascii="Times New Roman" w:hAnsi="Times New Roman" w:cs="Times New Roman"/>
                <w:color w:val="auto"/>
                <w:sz w:val="20"/>
                <w:highlight w:val="none"/>
                <w:lang w:val="en-US" w:eastAsia="zh-CN"/>
              </w:rPr>
              <w:t>0.02</w:t>
            </w:r>
          </w:p>
        </w:tc>
        <w:tc>
          <w:tcPr>
            <w:tcW w:w="1025" w:type="dxa"/>
            <w:vAlign w:val="center"/>
          </w:tcPr>
          <w:p>
            <w:pPr>
              <w:pStyle w:val="24"/>
              <w:spacing w:line="240" w:lineRule="exact"/>
              <w:ind w:left="328"/>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0.00</w:t>
            </w:r>
          </w:p>
        </w:tc>
        <w:tc>
          <w:tcPr>
            <w:tcW w:w="1030" w:type="dxa"/>
            <w:vAlign w:val="center"/>
          </w:tcPr>
          <w:p>
            <w:pPr>
              <w:pStyle w:val="24"/>
              <w:spacing w:line="240"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0.84</w:t>
            </w:r>
          </w:p>
        </w:tc>
        <w:tc>
          <w:tcPr>
            <w:tcW w:w="1044" w:type="dxa"/>
            <w:vAlign w:val="center"/>
          </w:tcPr>
          <w:p>
            <w:pPr>
              <w:pStyle w:val="24"/>
              <w:spacing w:line="240"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取土场区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2.00</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zh-CN" w:eastAsia="zh-CN" w:bidi="ar-SA"/>
              </w:rPr>
            </w:pPr>
            <w:r>
              <w:rPr>
                <w:rFonts w:hint="default" w:ascii="Times New Roman" w:hAnsi="Times New Roman" w:cs="Times New Roman"/>
                <w:color w:val="auto"/>
                <w:sz w:val="21"/>
                <w:szCs w:val="21"/>
                <w:highlight w:val="none"/>
                <w:vertAlign w:val="baseline"/>
                <w:lang w:val="en-US" w:eastAsia="zh-CN"/>
              </w:rPr>
              <w:t>2.00</w:t>
            </w:r>
          </w:p>
        </w:tc>
        <w:tc>
          <w:tcPr>
            <w:tcW w:w="1025" w:type="dxa"/>
            <w:vAlign w:val="center"/>
          </w:tcPr>
          <w:p>
            <w:pPr>
              <w:pStyle w:val="24"/>
              <w:spacing w:line="240"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1.93</w:t>
            </w:r>
          </w:p>
        </w:tc>
        <w:tc>
          <w:tcPr>
            <w:tcW w:w="1025" w:type="dxa"/>
            <w:vAlign w:val="center"/>
          </w:tcPr>
          <w:p>
            <w:pPr>
              <w:pStyle w:val="24"/>
              <w:spacing w:line="240" w:lineRule="exact"/>
              <w:ind w:left="306" w:right="299"/>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0.04</w:t>
            </w:r>
          </w:p>
        </w:tc>
        <w:tc>
          <w:tcPr>
            <w:tcW w:w="1025" w:type="dxa"/>
            <w:vAlign w:val="center"/>
          </w:tcPr>
          <w:p>
            <w:pPr>
              <w:pStyle w:val="24"/>
              <w:spacing w:line="240" w:lineRule="exact"/>
              <w:ind w:left="328"/>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0.00</w:t>
            </w:r>
          </w:p>
        </w:tc>
        <w:tc>
          <w:tcPr>
            <w:tcW w:w="1030" w:type="dxa"/>
            <w:vAlign w:val="center"/>
          </w:tcPr>
          <w:p>
            <w:pPr>
              <w:pStyle w:val="24"/>
              <w:spacing w:line="240"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2.00</w:t>
            </w:r>
          </w:p>
        </w:tc>
        <w:tc>
          <w:tcPr>
            <w:tcW w:w="1044" w:type="dxa"/>
            <w:vAlign w:val="center"/>
          </w:tcPr>
          <w:p>
            <w:pPr>
              <w:pStyle w:val="24"/>
              <w:spacing w:line="240"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施工便道区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0.05</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0.00</w:t>
            </w:r>
          </w:p>
        </w:tc>
        <w:tc>
          <w:tcPr>
            <w:tcW w:w="1025" w:type="dxa"/>
            <w:vAlign w:val="center"/>
          </w:tcPr>
          <w:p>
            <w:pPr>
              <w:pStyle w:val="24"/>
              <w:spacing w:line="241" w:lineRule="exact"/>
              <w:ind w:left="328"/>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0.00</w:t>
            </w:r>
          </w:p>
        </w:tc>
        <w:tc>
          <w:tcPr>
            <w:tcW w:w="1030" w:type="dxa"/>
            <w:vAlign w:val="center"/>
          </w:tcPr>
          <w:p>
            <w:pPr>
              <w:pStyle w:val="24"/>
              <w:spacing w:line="241"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0.05</w:t>
            </w:r>
          </w:p>
        </w:tc>
        <w:tc>
          <w:tcPr>
            <w:tcW w:w="1044" w:type="dxa"/>
            <w:vAlign w:val="center"/>
          </w:tcPr>
          <w:p>
            <w:pPr>
              <w:pStyle w:val="24"/>
              <w:spacing w:line="241"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施工生产生活区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0.20</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0.00</w:t>
            </w:r>
          </w:p>
        </w:tc>
        <w:tc>
          <w:tcPr>
            <w:tcW w:w="1025" w:type="dxa"/>
            <w:vAlign w:val="center"/>
          </w:tcPr>
          <w:p>
            <w:pPr>
              <w:pStyle w:val="24"/>
              <w:spacing w:line="241" w:lineRule="exact"/>
              <w:ind w:left="328"/>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0.00</w:t>
            </w:r>
          </w:p>
        </w:tc>
        <w:tc>
          <w:tcPr>
            <w:tcW w:w="1030" w:type="dxa"/>
            <w:vAlign w:val="center"/>
          </w:tcPr>
          <w:p>
            <w:pPr>
              <w:pStyle w:val="24"/>
              <w:spacing w:line="241"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0.20</w:t>
            </w:r>
          </w:p>
        </w:tc>
        <w:tc>
          <w:tcPr>
            <w:tcW w:w="1044" w:type="dxa"/>
            <w:vAlign w:val="center"/>
          </w:tcPr>
          <w:p>
            <w:pPr>
              <w:pStyle w:val="24"/>
              <w:spacing w:line="241"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88"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临时堆放区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0.21</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0.21</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0.00</w:t>
            </w:r>
          </w:p>
        </w:tc>
        <w:tc>
          <w:tcPr>
            <w:tcW w:w="1025" w:type="dxa"/>
            <w:vAlign w:val="center"/>
          </w:tcPr>
          <w:p>
            <w:pPr>
              <w:pStyle w:val="24"/>
              <w:spacing w:line="241" w:lineRule="exact"/>
              <w:ind w:left="328"/>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0.00</w:t>
            </w:r>
          </w:p>
        </w:tc>
        <w:tc>
          <w:tcPr>
            <w:tcW w:w="1030" w:type="dxa"/>
            <w:vAlign w:val="center"/>
          </w:tcPr>
          <w:p>
            <w:pPr>
              <w:pStyle w:val="24"/>
              <w:spacing w:line="241"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0.21</w:t>
            </w:r>
          </w:p>
        </w:tc>
        <w:tc>
          <w:tcPr>
            <w:tcW w:w="1044" w:type="dxa"/>
            <w:vAlign w:val="center"/>
          </w:tcPr>
          <w:p>
            <w:pPr>
              <w:pStyle w:val="24"/>
              <w:spacing w:line="241"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844" w:type="dxa"/>
            <w:vAlign w:val="center"/>
          </w:tcPr>
          <w:p>
            <w:pPr>
              <w:pStyle w:val="24"/>
              <w:spacing w:before="8" w:line="261" w:lineRule="exact"/>
              <w:ind w:left="375" w:right="367"/>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总计</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8.51</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5.13</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0.00</w:t>
            </w:r>
          </w:p>
        </w:tc>
        <w:tc>
          <w:tcPr>
            <w:tcW w:w="1025" w:type="dxa"/>
            <w:vAlign w:val="center"/>
          </w:tcPr>
          <w:p>
            <w:pPr>
              <w:pStyle w:val="24"/>
              <w:spacing w:line="241" w:lineRule="exact"/>
              <w:ind w:left="328"/>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2.66</w:t>
            </w:r>
          </w:p>
        </w:tc>
        <w:tc>
          <w:tcPr>
            <w:tcW w:w="1030" w:type="dxa"/>
            <w:vAlign w:val="center"/>
          </w:tcPr>
          <w:p>
            <w:pPr>
              <w:pStyle w:val="24"/>
              <w:spacing w:line="241"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8.49</w:t>
            </w:r>
          </w:p>
        </w:tc>
        <w:tc>
          <w:tcPr>
            <w:tcW w:w="1044" w:type="dxa"/>
            <w:vAlign w:val="center"/>
          </w:tcPr>
          <w:p>
            <w:pPr>
              <w:pStyle w:val="24"/>
              <w:spacing w:line="241"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99.92%</w:t>
            </w:r>
          </w:p>
        </w:tc>
      </w:tr>
    </w:tbl>
    <w:p>
      <w:pPr>
        <w:pStyle w:val="3"/>
        <w:bidi w:val="0"/>
        <w:rPr>
          <w:rFonts w:hint="default" w:ascii="Times New Roman" w:hAnsi="Times New Roman" w:cs="Times New Roman"/>
          <w:color w:val="auto"/>
          <w:highlight w:val="none"/>
          <w:lang w:val="en-US" w:eastAsia="zh-CN"/>
        </w:rPr>
      </w:pPr>
      <w:bookmarkStart w:id="318" w:name="_Toc4981"/>
      <w:bookmarkStart w:id="319" w:name="_Toc5824"/>
      <w:bookmarkStart w:id="320" w:name="_Toc7535"/>
      <w:bookmarkStart w:id="321" w:name="_Toc11521"/>
      <w:r>
        <w:rPr>
          <w:rFonts w:hint="default" w:ascii="Times New Roman" w:hAnsi="Times New Roman" w:cs="Times New Roman"/>
          <w:color w:val="auto"/>
          <w:highlight w:val="none"/>
          <w:lang w:val="en-US" w:eastAsia="zh-CN"/>
        </w:rPr>
        <w:t>6.2 水土流失总治理程度</w:t>
      </w:r>
      <w:bookmarkEnd w:id="318"/>
      <w:bookmarkEnd w:id="319"/>
      <w:bookmarkEnd w:id="320"/>
      <w:bookmarkEnd w:id="321"/>
    </w:p>
    <w:p>
      <w:pPr>
        <w:keepNext w:val="0"/>
        <w:keepLines w:val="0"/>
        <w:pageBreakBefore w:val="0"/>
        <w:widowControl w:val="0"/>
        <w:kinsoku/>
        <w:wordWrap/>
        <w:overflowPunct/>
        <w:topLinePunct w:val="0"/>
        <w:autoSpaceDE/>
        <w:autoSpaceDN/>
        <w:bidi w:val="0"/>
        <w:adjustRightInd/>
        <w:snapToGrid/>
        <w:spacing w:line="360" w:lineRule="auto"/>
        <w:ind w:firstLine="476" w:firstLineChars="200"/>
        <w:textAlignment w:val="auto"/>
        <w:rPr>
          <w:rFonts w:hint="default" w:ascii="Times New Roman" w:hAnsi="Times New Roman" w:cs="Times New Roman"/>
          <w:color w:val="auto"/>
          <w:spacing w:val="-4"/>
          <w:highlight w:val="none"/>
          <w:lang w:eastAsia="zh-CN"/>
        </w:rPr>
      </w:pPr>
      <w:r>
        <w:rPr>
          <w:rFonts w:hint="default" w:ascii="Times New Roman" w:hAnsi="Times New Roman" w:cs="Times New Roman"/>
          <w:color w:val="auto"/>
          <w:spacing w:val="-1"/>
          <w:highlight w:val="none"/>
        </w:rPr>
        <w:t>主体工程区实际扰动土地范围除去建</w:t>
      </w:r>
      <w:r>
        <w:rPr>
          <w:rFonts w:hint="default" w:ascii="Times New Roman" w:hAnsi="Times New Roman" w:cs="Times New Roman"/>
          <w:color w:val="auto"/>
          <w:highlight w:val="none"/>
        </w:rPr>
        <w:t>（构</w:t>
      </w:r>
      <w:r>
        <w:rPr>
          <w:rFonts w:hint="default" w:ascii="Times New Roman" w:hAnsi="Times New Roman" w:cs="Times New Roman"/>
          <w:color w:val="auto"/>
          <w:spacing w:val="-9"/>
          <w:highlight w:val="none"/>
        </w:rPr>
        <w:t>）</w:t>
      </w:r>
      <w:r>
        <w:rPr>
          <w:rFonts w:hint="default" w:ascii="Times New Roman" w:hAnsi="Times New Roman" w:cs="Times New Roman"/>
          <w:color w:val="auto"/>
          <w:spacing w:val="-6"/>
          <w:highlight w:val="none"/>
        </w:rPr>
        <w:t>筑物、场地、道路、硬化占地面积，实</w:t>
      </w:r>
      <w:r>
        <w:rPr>
          <w:rFonts w:hint="default" w:ascii="Times New Roman" w:hAnsi="Times New Roman" w:cs="Times New Roman"/>
          <w:color w:val="auto"/>
          <w:spacing w:val="-12"/>
          <w:highlight w:val="none"/>
        </w:rPr>
        <w:t xml:space="preserve">际造成水土流失面积 </w:t>
      </w:r>
      <w:r>
        <w:rPr>
          <w:rFonts w:hint="default" w:ascii="Times New Roman" w:hAnsi="Times New Roman" w:cs="Times New Roman"/>
          <w:color w:val="auto"/>
          <w:spacing w:val="-12"/>
          <w:highlight w:val="none"/>
          <w:lang w:val="en-US" w:eastAsia="zh-CN"/>
        </w:rPr>
        <w:t>5.85</w:t>
      </w:r>
      <w:r>
        <w:rPr>
          <w:rFonts w:hint="default" w:ascii="Times New Roman" w:hAnsi="Times New Roman" w:eastAsia="Times New Roman" w:cs="Times New Roman"/>
          <w:color w:val="auto"/>
          <w:highlight w:val="none"/>
        </w:rPr>
        <w:t>h</w:t>
      </w:r>
      <w:r>
        <w:rPr>
          <w:rFonts w:hint="default" w:ascii="Times New Roman" w:hAnsi="Times New Roman" w:eastAsia="Times New Roman" w:cs="Times New Roman"/>
          <w:color w:val="auto"/>
          <w:spacing w:val="-2"/>
          <w:highlight w:val="none"/>
        </w:rPr>
        <w:t>m</w:t>
      </w:r>
      <w:r>
        <w:rPr>
          <w:rFonts w:hint="default" w:ascii="Times New Roman" w:hAnsi="Times New Roman" w:eastAsia="Times New Roman" w:cs="Times New Roman"/>
          <w:color w:val="auto"/>
          <w:w w:val="99"/>
          <w:position w:val="9"/>
          <w:sz w:val="16"/>
          <w:highlight w:val="none"/>
        </w:rPr>
        <w:t>2</w:t>
      </w:r>
      <w:r>
        <w:rPr>
          <w:rFonts w:hint="default" w:ascii="Times New Roman" w:hAnsi="Times New Roman" w:cs="Times New Roman"/>
          <w:color w:val="auto"/>
          <w:spacing w:val="-9"/>
          <w:highlight w:val="none"/>
        </w:rPr>
        <w:t>，各项水土保持工程措施和植物绿化措施等治理达标面积为</w:t>
      </w:r>
      <w:r>
        <w:rPr>
          <w:rFonts w:hint="default" w:ascii="Times New Roman" w:hAnsi="Times New Roman" w:cs="Times New Roman"/>
          <w:color w:val="auto"/>
          <w:spacing w:val="-9"/>
          <w:highlight w:val="none"/>
          <w:lang w:val="en-US" w:eastAsia="zh-CN"/>
        </w:rPr>
        <w:t>571</w:t>
      </w:r>
      <w:r>
        <w:rPr>
          <w:rFonts w:hint="default" w:ascii="Times New Roman" w:hAnsi="Times New Roman" w:eastAsia="Times New Roman" w:cs="Times New Roman"/>
          <w:color w:val="auto"/>
          <w:spacing w:val="-7"/>
          <w:highlight w:val="none"/>
        </w:rPr>
        <w:t>hm</w:t>
      </w:r>
      <w:r>
        <w:rPr>
          <w:rFonts w:hint="default" w:ascii="Times New Roman" w:hAnsi="Times New Roman" w:eastAsia="Times New Roman" w:cs="Times New Roman"/>
          <w:color w:val="auto"/>
          <w:spacing w:val="-7"/>
          <w:position w:val="9"/>
          <w:sz w:val="16"/>
          <w:highlight w:val="none"/>
        </w:rPr>
        <w:t>2</w:t>
      </w:r>
      <w:r>
        <w:rPr>
          <w:rFonts w:hint="default" w:ascii="Times New Roman" w:hAnsi="Times New Roman" w:cs="Times New Roman"/>
          <w:color w:val="auto"/>
          <w:spacing w:val="-6"/>
          <w:highlight w:val="none"/>
        </w:rPr>
        <w:t xml:space="preserve">，由此计算项目区水土流失综合总治理度为 </w:t>
      </w:r>
      <w:r>
        <w:rPr>
          <w:rFonts w:hint="default" w:ascii="Times New Roman" w:hAnsi="Times New Roman" w:eastAsia="Times New Roman" w:cs="Times New Roman"/>
          <w:color w:val="auto"/>
          <w:spacing w:val="-7"/>
          <w:highlight w:val="none"/>
        </w:rPr>
        <w:t>9</w:t>
      </w:r>
      <w:r>
        <w:rPr>
          <w:rFonts w:hint="default" w:ascii="Times New Roman" w:hAnsi="Times New Roman" w:eastAsia="宋体" w:cs="Times New Roman"/>
          <w:color w:val="auto"/>
          <w:spacing w:val="-7"/>
          <w:highlight w:val="none"/>
          <w:lang w:val="en-US" w:eastAsia="zh-CN"/>
        </w:rPr>
        <w:t>9.65</w:t>
      </w:r>
      <w:r>
        <w:rPr>
          <w:rFonts w:hint="default" w:ascii="Times New Roman" w:hAnsi="Times New Roman" w:eastAsia="Times New Roman" w:cs="Times New Roman"/>
          <w:color w:val="auto"/>
          <w:spacing w:val="-7"/>
          <w:highlight w:val="none"/>
        </w:rPr>
        <w:t>%</w:t>
      </w:r>
      <w:r>
        <w:rPr>
          <w:rFonts w:hint="default" w:ascii="Times New Roman" w:hAnsi="Times New Roman" w:cs="Times New Roman"/>
          <w:color w:val="auto"/>
          <w:spacing w:val="-4"/>
          <w:highlight w:val="none"/>
        </w:rPr>
        <w:t>，达到方案防治标准的要求。各防治分区水土流失治理情况详见表</w:t>
      </w:r>
      <w:r>
        <w:rPr>
          <w:rFonts w:hint="default" w:ascii="Times New Roman" w:hAnsi="Times New Roman" w:cs="Times New Roman"/>
          <w:color w:val="auto"/>
          <w:spacing w:val="-4"/>
          <w:highlight w:val="none"/>
          <w:lang w:eastAsia="zh-CN"/>
        </w:rPr>
        <w:t>。</w:t>
      </w:r>
    </w:p>
    <w:p>
      <w:pPr>
        <w:pStyle w:val="8"/>
        <w:tabs>
          <w:tab w:val="left" w:pos="2518"/>
          <w:tab w:val="left" w:pos="6238"/>
        </w:tabs>
        <w:spacing w:before="159"/>
        <w:ind w:left="1678"/>
        <w:rPr>
          <w:rFonts w:hint="default" w:ascii="Times New Roman" w:hAnsi="Times New Roman" w:cs="Times New Roman"/>
          <w:color w:val="auto"/>
          <w:highlight w:val="none"/>
        </w:rPr>
      </w:pPr>
    </w:p>
    <w:p>
      <w:pPr>
        <w:pStyle w:val="8"/>
        <w:tabs>
          <w:tab w:val="left" w:pos="2518"/>
          <w:tab w:val="left" w:pos="6238"/>
        </w:tabs>
        <w:spacing w:before="159"/>
        <w:ind w:left="1678"/>
        <w:rPr>
          <w:rFonts w:hint="default" w:ascii="Times New Roman" w:hAnsi="Times New Roman" w:eastAsia="Times New Roman" w:cs="Times New Roman"/>
          <w:color w:val="auto"/>
          <w:sz w:val="16"/>
          <w:highlight w:val="none"/>
        </w:rPr>
      </w:pPr>
      <w:r>
        <w:rPr>
          <w:rFonts w:hint="default" w:ascii="Times New Roman" w:hAnsi="Times New Roman" w:cs="Times New Roman"/>
          <w:color w:val="auto"/>
          <w:highlight w:val="none"/>
        </w:rPr>
        <w:t>各防治分区水土流失治理情况表</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t>单位：</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bl>
      <w:tblPr>
        <w:tblStyle w:val="19"/>
        <w:tblW w:w="94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60"/>
        <w:gridCol w:w="960"/>
        <w:gridCol w:w="960"/>
        <w:gridCol w:w="960"/>
        <w:gridCol w:w="960"/>
        <w:gridCol w:w="960"/>
        <w:gridCol w:w="960"/>
        <w:gridCol w:w="960"/>
        <w:gridCol w:w="9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760" w:type="dxa"/>
            <w:vMerge w:val="restart"/>
          </w:tcPr>
          <w:p>
            <w:pPr>
              <w:pStyle w:val="24"/>
              <w:jc w:val="left"/>
              <w:rPr>
                <w:rFonts w:hint="default" w:ascii="Times New Roman" w:hAnsi="Times New Roman" w:cs="Times New Roman"/>
                <w:color w:val="auto"/>
                <w:sz w:val="20"/>
                <w:highlight w:val="none"/>
              </w:rPr>
            </w:pPr>
          </w:p>
          <w:p>
            <w:pPr>
              <w:pStyle w:val="24"/>
              <w:spacing w:before="179"/>
              <w:ind w:left="333" w:right="32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分区</w:t>
            </w:r>
          </w:p>
        </w:tc>
        <w:tc>
          <w:tcPr>
            <w:tcW w:w="960" w:type="dxa"/>
            <w:vMerge w:val="restart"/>
          </w:tcPr>
          <w:p>
            <w:pPr>
              <w:pStyle w:val="24"/>
              <w:spacing w:before="7"/>
              <w:jc w:val="left"/>
              <w:rPr>
                <w:rFonts w:hint="default" w:ascii="Times New Roman" w:hAnsi="Times New Roman" w:cs="Times New Roman"/>
                <w:color w:val="auto"/>
                <w:sz w:val="23"/>
                <w:highlight w:val="none"/>
              </w:rPr>
            </w:pPr>
          </w:p>
          <w:p>
            <w:pPr>
              <w:pStyle w:val="24"/>
              <w:spacing w:line="242" w:lineRule="auto"/>
              <w:ind w:left="163" w:right="154"/>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项目建设面积</w:t>
            </w:r>
          </w:p>
        </w:tc>
        <w:tc>
          <w:tcPr>
            <w:tcW w:w="960" w:type="dxa"/>
            <w:vMerge w:val="restart"/>
          </w:tcPr>
          <w:p>
            <w:pPr>
              <w:pStyle w:val="24"/>
              <w:spacing w:before="7"/>
              <w:jc w:val="left"/>
              <w:rPr>
                <w:rFonts w:hint="default" w:ascii="Times New Roman" w:hAnsi="Times New Roman" w:cs="Times New Roman"/>
                <w:color w:val="auto"/>
                <w:sz w:val="23"/>
                <w:highlight w:val="none"/>
              </w:rPr>
            </w:pPr>
          </w:p>
          <w:p>
            <w:pPr>
              <w:pStyle w:val="24"/>
              <w:spacing w:line="242" w:lineRule="auto"/>
              <w:ind w:left="373" w:right="154" w:hanging="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扰动面积</w:t>
            </w:r>
          </w:p>
        </w:tc>
        <w:tc>
          <w:tcPr>
            <w:tcW w:w="960" w:type="dxa"/>
            <w:tcBorders>
              <w:bottom w:val="nil"/>
            </w:tcBorders>
          </w:tcPr>
          <w:p>
            <w:pPr>
              <w:pStyle w:val="24"/>
              <w:spacing w:line="268" w:lineRule="exact"/>
              <w:ind w:left="132" w:right="12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建筑物</w:t>
            </w:r>
          </w:p>
        </w:tc>
        <w:tc>
          <w:tcPr>
            <w:tcW w:w="960" w:type="dxa"/>
            <w:vMerge w:val="restart"/>
          </w:tcPr>
          <w:p>
            <w:pPr>
              <w:pStyle w:val="24"/>
              <w:spacing w:before="7"/>
              <w:jc w:val="left"/>
              <w:rPr>
                <w:rFonts w:hint="default" w:ascii="Times New Roman" w:hAnsi="Times New Roman" w:cs="Times New Roman"/>
                <w:color w:val="auto"/>
                <w:sz w:val="23"/>
                <w:highlight w:val="none"/>
              </w:rPr>
            </w:pPr>
          </w:p>
          <w:p>
            <w:pPr>
              <w:pStyle w:val="24"/>
              <w:spacing w:line="242" w:lineRule="auto"/>
              <w:ind w:left="163" w:right="154"/>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水土流失面积</w:t>
            </w:r>
          </w:p>
        </w:tc>
        <w:tc>
          <w:tcPr>
            <w:tcW w:w="2880" w:type="dxa"/>
            <w:gridSpan w:val="3"/>
          </w:tcPr>
          <w:p>
            <w:pPr>
              <w:pStyle w:val="24"/>
              <w:spacing w:before="8" w:line="259" w:lineRule="exact"/>
              <w:ind w:left="598"/>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水土流失治理面积</w:t>
            </w:r>
          </w:p>
        </w:tc>
        <w:tc>
          <w:tcPr>
            <w:tcW w:w="960" w:type="dxa"/>
            <w:vMerge w:val="restart"/>
          </w:tcPr>
          <w:p>
            <w:pPr>
              <w:pStyle w:val="24"/>
              <w:spacing w:before="136" w:line="242" w:lineRule="auto"/>
              <w:ind w:left="163" w:right="154"/>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水土流失总治理度%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jc w:val="center"/>
        </w:trPr>
        <w:tc>
          <w:tcPr>
            <w:tcW w:w="1760" w:type="dxa"/>
            <w:vMerge w:val="continue"/>
            <w:tcBorders>
              <w:top w:val="nil"/>
            </w:tcBorders>
          </w:tcPr>
          <w:p>
            <w:pPr>
              <w:rPr>
                <w:rFonts w:hint="default" w:ascii="Times New Roman" w:hAnsi="Times New Roman" w:cs="Times New Roman"/>
                <w:color w:val="auto"/>
                <w:sz w:val="2"/>
                <w:szCs w:val="2"/>
                <w:highlight w:val="none"/>
              </w:rPr>
            </w:pPr>
          </w:p>
        </w:tc>
        <w:tc>
          <w:tcPr>
            <w:tcW w:w="960" w:type="dxa"/>
            <w:vMerge w:val="continue"/>
            <w:tcBorders>
              <w:top w:val="nil"/>
            </w:tcBorders>
          </w:tcPr>
          <w:p>
            <w:pPr>
              <w:rPr>
                <w:rFonts w:hint="default" w:ascii="Times New Roman" w:hAnsi="Times New Roman" w:cs="Times New Roman"/>
                <w:color w:val="auto"/>
                <w:sz w:val="2"/>
                <w:szCs w:val="2"/>
                <w:highlight w:val="none"/>
              </w:rPr>
            </w:pPr>
          </w:p>
        </w:tc>
        <w:tc>
          <w:tcPr>
            <w:tcW w:w="960" w:type="dxa"/>
            <w:vMerge w:val="continue"/>
            <w:tcBorders>
              <w:top w:val="nil"/>
            </w:tcBorders>
          </w:tcPr>
          <w:p>
            <w:pPr>
              <w:rPr>
                <w:rFonts w:hint="default" w:ascii="Times New Roman" w:hAnsi="Times New Roman" w:cs="Times New Roman"/>
                <w:color w:val="auto"/>
                <w:sz w:val="2"/>
                <w:szCs w:val="2"/>
                <w:highlight w:val="none"/>
              </w:rPr>
            </w:pPr>
          </w:p>
        </w:tc>
        <w:tc>
          <w:tcPr>
            <w:tcW w:w="960" w:type="dxa"/>
            <w:tcBorders>
              <w:top w:val="nil"/>
            </w:tcBorders>
          </w:tcPr>
          <w:p>
            <w:pPr>
              <w:pStyle w:val="24"/>
              <w:spacing w:line="244" w:lineRule="exact"/>
              <w:ind w:left="163"/>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及场地</w:t>
            </w:r>
          </w:p>
          <w:p>
            <w:pPr>
              <w:pStyle w:val="24"/>
              <w:spacing w:before="2" w:line="270" w:lineRule="atLeast"/>
              <w:ind w:left="163" w:right="154"/>
              <w:jc w:val="left"/>
              <w:rPr>
                <w:rFonts w:hint="default" w:ascii="Times New Roman" w:hAnsi="Times New Roman" w:cs="Times New Roman"/>
                <w:color w:val="auto"/>
                <w:sz w:val="21"/>
                <w:highlight w:val="none"/>
              </w:rPr>
            </w:pPr>
            <w:r>
              <w:rPr>
                <w:rFonts w:hint="default" w:ascii="Times New Roman" w:hAnsi="Times New Roman" w:cs="Times New Roman"/>
                <w:color w:val="auto"/>
                <w:spacing w:val="-6"/>
                <w:sz w:val="21"/>
                <w:highlight w:val="none"/>
              </w:rPr>
              <w:t>道路硬化面积</w:t>
            </w:r>
          </w:p>
        </w:tc>
        <w:tc>
          <w:tcPr>
            <w:tcW w:w="960" w:type="dxa"/>
            <w:vMerge w:val="continue"/>
            <w:tcBorders>
              <w:top w:val="nil"/>
            </w:tcBorders>
          </w:tcPr>
          <w:p>
            <w:pPr>
              <w:rPr>
                <w:rFonts w:hint="default" w:ascii="Times New Roman" w:hAnsi="Times New Roman" w:cs="Times New Roman"/>
                <w:color w:val="auto"/>
                <w:sz w:val="2"/>
                <w:szCs w:val="2"/>
                <w:highlight w:val="none"/>
              </w:rPr>
            </w:pPr>
          </w:p>
        </w:tc>
        <w:tc>
          <w:tcPr>
            <w:tcW w:w="960" w:type="dxa"/>
          </w:tcPr>
          <w:p>
            <w:pPr>
              <w:pStyle w:val="24"/>
              <w:spacing w:before="123" w:line="242" w:lineRule="auto"/>
              <w:ind w:left="107" w:right="98"/>
              <w:jc w:val="center"/>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工程措施</w:t>
            </w:r>
          </w:p>
        </w:tc>
        <w:tc>
          <w:tcPr>
            <w:tcW w:w="960" w:type="dxa"/>
          </w:tcPr>
          <w:p>
            <w:pPr>
              <w:pStyle w:val="24"/>
              <w:spacing w:before="123" w:line="242" w:lineRule="auto"/>
              <w:ind w:left="373" w:right="154" w:hanging="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植物措施</w:t>
            </w:r>
          </w:p>
        </w:tc>
        <w:tc>
          <w:tcPr>
            <w:tcW w:w="960" w:type="dxa"/>
          </w:tcPr>
          <w:p>
            <w:pPr>
              <w:pStyle w:val="24"/>
              <w:spacing w:before="7"/>
              <w:jc w:val="left"/>
              <w:rPr>
                <w:rFonts w:hint="default" w:ascii="Times New Roman" w:hAnsi="Times New Roman" w:cs="Times New Roman"/>
                <w:color w:val="auto"/>
                <w:sz w:val="22"/>
                <w:highlight w:val="none"/>
              </w:rPr>
            </w:pPr>
          </w:p>
          <w:p>
            <w:pPr>
              <w:pStyle w:val="24"/>
              <w:ind w:left="269"/>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小计</w:t>
            </w:r>
          </w:p>
        </w:tc>
        <w:tc>
          <w:tcPr>
            <w:tcW w:w="960" w:type="dxa"/>
            <w:vMerge w:val="continue"/>
            <w:tcBorders>
              <w:top w:val="nil"/>
            </w:tcBorders>
          </w:tcPr>
          <w:p>
            <w:pPr>
              <w:rPr>
                <w:rFonts w:hint="default" w:ascii="Times New Roman" w:hAnsi="Times New Roman" w:cs="Times New Roman"/>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主体工程区</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3.80</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3.80</w:t>
            </w:r>
          </w:p>
        </w:tc>
        <w:tc>
          <w:tcPr>
            <w:tcW w:w="960" w:type="dxa"/>
            <w:vAlign w:val="center"/>
          </w:tcPr>
          <w:p>
            <w:pPr>
              <w:pStyle w:val="24"/>
              <w:spacing w:line="240" w:lineRule="exact"/>
              <w:ind w:left="328"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2.66</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1.14</w:t>
            </w:r>
          </w:p>
        </w:tc>
        <w:tc>
          <w:tcPr>
            <w:tcW w:w="960" w:type="dxa"/>
            <w:vAlign w:val="center"/>
          </w:tcPr>
          <w:p>
            <w:pPr>
              <w:pStyle w:val="24"/>
              <w:spacing w:line="240" w:lineRule="exact"/>
              <w:ind w:right="299"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0.12</w:t>
            </w:r>
          </w:p>
        </w:tc>
        <w:tc>
          <w:tcPr>
            <w:tcW w:w="960" w:type="dxa"/>
            <w:vAlign w:val="center"/>
          </w:tcPr>
          <w:p>
            <w:pPr>
              <w:pStyle w:val="24"/>
              <w:spacing w:line="240"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rPr>
              <w:t>1.</w:t>
            </w:r>
            <w:r>
              <w:rPr>
                <w:rFonts w:hint="default" w:ascii="Times New Roman" w:hAnsi="Times New Roman" w:cs="Times New Roman"/>
                <w:color w:val="auto"/>
                <w:sz w:val="21"/>
                <w:highlight w:val="none"/>
                <w:lang w:val="en-US" w:eastAsia="zh-CN"/>
              </w:rPr>
              <w:t>12</w:t>
            </w:r>
          </w:p>
        </w:tc>
        <w:tc>
          <w:tcPr>
            <w:tcW w:w="960" w:type="dxa"/>
          </w:tcPr>
          <w:p>
            <w:pPr>
              <w:pStyle w:val="24"/>
              <w:spacing w:before="22"/>
              <w:ind w:left="135" w:right="12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9</w:t>
            </w:r>
            <w:r>
              <w:rPr>
                <w:rFonts w:hint="default" w:ascii="Times New Roman" w:hAnsi="Times New Roman" w:cs="Times New Roman"/>
                <w:color w:val="auto"/>
                <w:sz w:val="21"/>
                <w:highlight w:val="none"/>
                <w:lang w:val="en-US" w:eastAsia="zh-CN"/>
              </w:rPr>
              <w:t>8.24</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附属设施区</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1.41</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1.41</w:t>
            </w:r>
          </w:p>
        </w:tc>
        <w:tc>
          <w:tcPr>
            <w:tcW w:w="960" w:type="dxa"/>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1.41</w:t>
            </w:r>
          </w:p>
        </w:tc>
        <w:tc>
          <w:tcPr>
            <w:tcW w:w="960" w:type="dxa"/>
            <w:vAlign w:val="center"/>
          </w:tcPr>
          <w:p>
            <w:pPr>
              <w:pStyle w:val="24"/>
              <w:ind w:firstLine="200" w:firstLineChars="100"/>
              <w:jc w:val="both"/>
              <w:rPr>
                <w:rFonts w:hint="default" w:ascii="Times New Roman" w:hAnsi="Times New Roman" w:eastAsia="仿宋" w:cs="Times New Roman"/>
                <w:color w:val="auto"/>
                <w:kern w:val="2"/>
                <w:sz w:val="20"/>
                <w:szCs w:val="24"/>
                <w:highlight w:val="none"/>
                <w:lang w:val="en-US" w:eastAsia="zh-CN" w:bidi="zh-CN"/>
              </w:rPr>
            </w:pPr>
            <w:r>
              <w:rPr>
                <w:rFonts w:hint="default" w:ascii="Times New Roman" w:hAnsi="Times New Roman" w:cs="Times New Roman"/>
                <w:color w:val="auto"/>
                <w:sz w:val="20"/>
                <w:highlight w:val="none"/>
                <w:lang w:val="en-US" w:eastAsia="zh-CN"/>
              </w:rPr>
              <w:t>0.00</w:t>
            </w:r>
          </w:p>
        </w:tc>
        <w:tc>
          <w:tcPr>
            <w:tcW w:w="960" w:type="dxa"/>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1.41</w:t>
            </w:r>
          </w:p>
        </w:tc>
        <w:tc>
          <w:tcPr>
            <w:tcW w:w="960" w:type="dxa"/>
          </w:tcPr>
          <w:p>
            <w:pPr>
              <w:pStyle w:val="24"/>
              <w:spacing w:before="22"/>
              <w:ind w:left="298"/>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1.41</w:t>
            </w:r>
          </w:p>
        </w:tc>
        <w:tc>
          <w:tcPr>
            <w:tcW w:w="960" w:type="dxa"/>
          </w:tcPr>
          <w:p>
            <w:pPr>
              <w:pStyle w:val="24"/>
              <w:spacing w:before="22"/>
              <w:ind w:left="135" w:right="12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弃渣回填区</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960" w:type="dxa"/>
            <w:vAlign w:val="center"/>
          </w:tcPr>
          <w:p>
            <w:pPr>
              <w:pStyle w:val="24"/>
              <w:spacing w:line="240"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rPr>
              <w:t>0</w:t>
            </w:r>
            <w:r>
              <w:rPr>
                <w:rFonts w:hint="default" w:ascii="Times New Roman" w:hAnsi="Times New Roman" w:cs="Times New Roman"/>
                <w:color w:val="auto"/>
                <w:sz w:val="21"/>
                <w:highlight w:val="none"/>
                <w:lang w:val="en-US" w:eastAsia="zh-CN"/>
              </w:rPr>
              <w:t>.84</w:t>
            </w:r>
          </w:p>
        </w:tc>
        <w:tc>
          <w:tcPr>
            <w:tcW w:w="960" w:type="dxa"/>
            <w:vAlign w:val="center"/>
          </w:tcPr>
          <w:p>
            <w:pPr>
              <w:pStyle w:val="24"/>
              <w:ind w:firstLine="200" w:firstLineChars="100"/>
              <w:jc w:val="both"/>
              <w:rPr>
                <w:rFonts w:hint="default" w:ascii="Times New Roman" w:hAnsi="Times New Roman" w:eastAsia="仿宋" w:cs="Times New Roman"/>
                <w:color w:val="auto"/>
                <w:kern w:val="2"/>
                <w:sz w:val="20"/>
                <w:szCs w:val="24"/>
                <w:highlight w:val="none"/>
                <w:lang w:val="en-US" w:eastAsia="zh-CN" w:bidi="zh-CN"/>
              </w:rPr>
            </w:pPr>
            <w:r>
              <w:rPr>
                <w:rFonts w:hint="default" w:ascii="Times New Roman" w:hAnsi="Times New Roman" w:cs="Times New Roman"/>
                <w:color w:val="auto"/>
                <w:sz w:val="20"/>
                <w:highlight w:val="none"/>
                <w:lang w:val="en-US" w:eastAsia="zh-CN"/>
              </w:rPr>
              <w:t>0.00</w:t>
            </w:r>
          </w:p>
        </w:tc>
        <w:tc>
          <w:tcPr>
            <w:tcW w:w="960" w:type="dxa"/>
            <w:vAlign w:val="center"/>
          </w:tcPr>
          <w:p>
            <w:pPr>
              <w:pStyle w:val="24"/>
              <w:spacing w:line="240"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0.84</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rPr>
              <w:t>0.</w:t>
            </w:r>
            <w:r>
              <w:rPr>
                <w:rFonts w:hint="default" w:ascii="Times New Roman" w:hAnsi="Times New Roman" w:cs="Times New Roman"/>
                <w:color w:val="auto"/>
                <w:sz w:val="21"/>
                <w:highlight w:val="none"/>
                <w:lang w:val="en-US" w:eastAsia="zh-CN"/>
              </w:rPr>
              <w:t>84</w:t>
            </w:r>
          </w:p>
        </w:tc>
        <w:tc>
          <w:tcPr>
            <w:tcW w:w="960" w:type="dxa"/>
          </w:tcPr>
          <w:p>
            <w:pPr>
              <w:pStyle w:val="24"/>
              <w:spacing w:before="22"/>
              <w:ind w:left="135" w:right="12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取土场区</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2.00</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2.00</w:t>
            </w:r>
          </w:p>
        </w:tc>
        <w:tc>
          <w:tcPr>
            <w:tcW w:w="960" w:type="dxa"/>
            <w:vAlign w:val="center"/>
          </w:tcPr>
          <w:p>
            <w:pPr>
              <w:pStyle w:val="24"/>
              <w:spacing w:line="240"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2.00</w:t>
            </w:r>
          </w:p>
        </w:tc>
        <w:tc>
          <w:tcPr>
            <w:tcW w:w="960" w:type="dxa"/>
            <w:vAlign w:val="center"/>
          </w:tcPr>
          <w:p>
            <w:pPr>
              <w:pStyle w:val="24"/>
              <w:spacing w:line="240" w:lineRule="exact"/>
              <w:ind w:right="299"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960" w:type="dxa"/>
            <w:vAlign w:val="center"/>
          </w:tcPr>
          <w:p>
            <w:pPr>
              <w:pStyle w:val="24"/>
              <w:spacing w:line="240"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2.00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2.00</w:t>
            </w:r>
          </w:p>
        </w:tc>
        <w:tc>
          <w:tcPr>
            <w:tcW w:w="960" w:type="dxa"/>
          </w:tcPr>
          <w:p>
            <w:pPr>
              <w:pStyle w:val="24"/>
              <w:spacing w:before="22"/>
              <w:ind w:left="135" w:right="12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施工便道区</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960" w:type="dxa"/>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0.05</w:t>
            </w:r>
          </w:p>
        </w:tc>
        <w:tc>
          <w:tcPr>
            <w:tcW w:w="960" w:type="dxa"/>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960" w:type="dxa"/>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0.05</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0.05</w:t>
            </w:r>
          </w:p>
        </w:tc>
        <w:tc>
          <w:tcPr>
            <w:tcW w:w="960" w:type="dxa"/>
          </w:tcPr>
          <w:p>
            <w:pPr>
              <w:pStyle w:val="24"/>
              <w:spacing w:before="22"/>
              <w:ind w:left="135" w:right="12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施工生产生活区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c>
          <w:tcPr>
            <w:tcW w:w="0" w:type="auto"/>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0.20</w:t>
            </w:r>
          </w:p>
        </w:tc>
        <w:tc>
          <w:tcPr>
            <w:tcW w:w="960" w:type="dxa"/>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0" w:type="auto"/>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0.20</w:t>
            </w:r>
          </w:p>
        </w:tc>
        <w:tc>
          <w:tcPr>
            <w:tcW w:w="0" w:type="auto"/>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0.20</w:t>
            </w:r>
          </w:p>
        </w:tc>
        <w:tc>
          <w:tcPr>
            <w:tcW w:w="0" w:type="auto"/>
          </w:tcPr>
          <w:p>
            <w:pPr>
              <w:pStyle w:val="24"/>
              <w:spacing w:before="22"/>
              <w:ind w:left="135" w:right="126"/>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临时堆放区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0.21</w:t>
            </w:r>
          </w:p>
        </w:tc>
        <w:tc>
          <w:tcPr>
            <w:tcW w:w="0" w:type="auto"/>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960" w:type="dxa"/>
          </w:tcPr>
          <w:p>
            <w:pPr>
              <w:pStyle w:val="24"/>
              <w:spacing w:before="22"/>
              <w:ind w:left="294"/>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0.21</w:t>
            </w:r>
          </w:p>
        </w:tc>
        <w:tc>
          <w:tcPr>
            <w:tcW w:w="960" w:type="dxa"/>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0" w:type="auto"/>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0.21</w:t>
            </w:r>
          </w:p>
        </w:tc>
        <w:tc>
          <w:tcPr>
            <w:tcW w:w="0" w:type="auto"/>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0.21</w:t>
            </w:r>
          </w:p>
        </w:tc>
        <w:tc>
          <w:tcPr>
            <w:tcW w:w="0" w:type="auto"/>
          </w:tcPr>
          <w:p>
            <w:pPr>
              <w:pStyle w:val="24"/>
              <w:spacing w:before="22"/>
              <w:ind w:left="135" w:right="126"/>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0" w:type="auto"/>
            <w:vAlign w:val="center"/>
          </w:tcPr>
          <w:p>
            <w:pPr>
              <w:pStyle w:val="24"/>
              <w:spacing w:before="8" w:line="261" w:lineRule="exact"/>
              <w:ind w:left="375" w:leftChars="0" w:right="367"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总计</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8.51</w:t>
            </w:r>
          </w:p>
        </w:tc>
        <w:tc>
          <w:tcPr>
            <w:tcW w:w="0" w:type="auto"/>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2.66</w:t>
            </w:r>
          </w:p>
        </w:tc>
        <w:tc>
          <w:tcPr>
            <w:tcW w:w="960" w:type="dxa"/>
          </w:tcPr>
          <w:p>
            <w:pPr>
              <w:pStyle w:val="24"/>
              <w:spacing w:before="22"/>
              <w:ind w:left="294"/>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5.85</w:t>
            </w:r>
          </w:p>
        </w:tc>
        <w:tc>
          <w:tcPr>
            <w:tcW w:w="960" w:type="dxa"/>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0.12</w:t>
            </w:r>
          </w:p>
        </w:tc>
        <w:tc>
          <w:tcPr>
            <w:tcW w:w="0" w:type="auto"/>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kern w:val="2"/>
                <w:sz w:val="21"/>
                <w:szCs w:val="24"/>
                <w:highlight w:val="none"/>
                <w:lang w:val="en-US" w:eastAsia="zh-CN" w:bidi="zh-CN"/>
              </w:rPr>
              <w:t>5.71</w:t>
            </w:r>
          </w:p>
        </w:tc>
        <w:tc>
          <w:tcPr>
            <w:tcW w:w="0" w:type="auto"/>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5.83</w:t>
            </w:r>
          </w:p>
        </w:tc>
        <w:tc>
          <w:tcPr>
            <w:tcW w:w="0" w:type="auto"/>
          </w:tcPr>
          <w:p>
            <w:pPr>
              <w:pStyle w:val="24"/>
              <w:spacing w:before="22"/>
              <w:ind w:left="135" w:right="126"/>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99.65%</w:t>
            </w:r>
          </w:p>
        </w:tc>
      </w:tr>
    </w:tbl>
    <w:p>
      <w:pPr>
        <w:pStyle w:val="3"/>
        <w:bidi w:val="0"/>
        <w:rPr>
          <w:rFonts w:hint="default" w:ascii="Times New Roman" w:hAnsi="Times New Roman" w:cs="Times New Roman"/>
          <w:color w:val="auto"/>
          <w:highlight w:val="none"/>
          <w:lang w:val="en-US" w:eastAsia="zh-CN"/>
        </w:rPr>
      </w:pPr>
      <w:bookmarkStart w:id="322" w:name="_Toc25390"/>
      <w:bookmarkStart w:id="323" w:name="_Toc28422"/>
      <w:bookmarkStart w:id="324" w:name="_Toc27676"/>
      <w:bookmarkStart w:id="325" w:name="_Toc27135"/>
      <w:r>
        <w:rPr>
          <w:rFonts w:hint="default" w:ascii="Times New Roman" w:hAnsi="Times New Roman" w:cs="Times New Roman"/>
          <w:color w:val="auto"/>
          <w:highlight w:val="none"/>
          <w:lang w:val="en-US" w:eastAsia="zh-CN"/>
        </w:rPr>
        <w:t>6.3 拦渣率与弃渣利用情况</w:t>
      </w:r>
      <w:bookmarkEnd w:id="322"/>
      <w:bookmarkEnd w:id="323"/>
      <w:bookmarkEnd w:id="324"/>
      <w:bookmarkEnd w:id="325"/>
    </w:p>
    <w:p>
      <w:pPr>
        <w:pStyle w:val="8"/>
        <w:keepNext w:val="0"/>
        <w:keepLines w:val="0"/>
        <w:pageBreakBefore w:val="0"/>
        <w:widowControl w:val="0"/>
        <w:kinsoku/>
        <w:wordWrap/>
        <w:overflowPunct/>
        <w:topLinePunct w:val="0"/>
        <w:autoSpaceDE/>
        <w:autoSpaceDN/>
        <w:bidi w:val="0"/>
        <w:adjustRightInd/>
        <w:snapToGrid/>
        <w:spacing w:before="200" w:line="360" w:lineRule="auto"/>
        <w:ind w:right="772"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拦渣率指项目防治责任范围内采取措施实际挡护的永久弃渣、临时堆土数量占永久弃渣和临时堆土总量的百分比。</w:t>
      </w:r>
    </w:p>
    <w:p>
      <w:pPr>
        <w:pStyle w:val="8"/>
        <w:keepNext w:val="0"/>
        <w:keepLines w:val="0"/>
        <w:pageBreakBefore w:val="0"/>
        <w:widowControl w:val="0"/>
        <w:kinsoku/>
        <w:wordWrap/>
        <w:overflowPunct/>
        <w:topLinePunct w:val="0"/>
        <w:autoSpaceDE/>
        <w:autoSpaceDN/>
        <w:bidi w:val="0"/>
        <w:adjustRightInd/>
        <w:snapToGrid/>
        <w:spacing w:line="360" w:lineRule="auto"/>
        <w:ind w:right="833" w:firstLine="444"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9"/>
          <w:highlight w:val="none"/>
        </w:rPr>
        <w:t>项目建设过程中，</w:t>
      </w:r>
      <w:r>
        <w:rPr>
          <w:rFonts w:hint="default" w:ascii="Times New Roman" w:hAnsi="Times New Roman" w:cs="Times New Roman"/>
          <w:color w:val="auto"/>
          <w:spacing w:val="-9"/>
          <w:highlight w:val="none"/>
          <w:lang w:val="en-US" w:eastAsia="zh-CN"/>
        </w:rPr>
        <w:t>总挖方</w:t>
      </w:r>
      <w:r>
        <w:rPr>
          <w:rFonts w:hint="default" w:ascii="Times New Roman" w:hAnsi="Times New Roman" w:cs="Times New Roman"/>
          <w:color w:val="auto"/>
          <w:spacing w:val="-9"/>
          <w:highlight w:val="none"/>
        </w:rPr>
        <w:t xml:space="preserve">弃方 </w:t>
      </w:r>
      <w:r>
        <w:rPr>
          <w:rFonts w:hint="default" w:ascii="Times New Roman" w:hAnsi="Times New Roman" w:cs="Times New Roman"/>
          <w:color w:val="auto"/>
          <w:spacing w:val="-9"/>
          <w:highlight w:val="none"/>
          <w:lang w:val="en-US" w:eastAsia="zh-CN"/>
        </w:rPr>
        <w:t>5.02</w:t>
      </w:r>
      <w:r>
        <w:rPr>
          <w:rFonts w:hint="default" w:ascii="Times New Roman" w:hAnsi="Times New Roman" w:cs="Times New Roman"/>
          <w:color w:val="auto"/>
          <w:spacing w:val="-30"/>
          <w:highlight w:val="none"/>
        </w:rPr>
        <w:t xml:space="preserve">万 </w:t>
      </w:r>
      <w:r>
        <w:rPr>
          <w:rFonts w:hint="default" w:ascii="Times New Roman" w:hAnsi="Times New Roman" w:eastAsia="Times New Roman" w:cs="Times New Roman"/>
          <w:color w:val="auto"/>
          <w:spacing w:val="-14"/>
          <w:highlight w:val="none"/>
        </w:rPr>
        <w:t>m</w:t>
      </w:r>
      <w:r>
        <w:rPr>
          <w:rFonts w:hint="default" w:ascii="Times New Roman" w:hAnsi="Times New Roman" w:eastAsia="Times New Roman" w:cs="Times New Roman"/>
          <w:color w:val="auto"/>
          <w:spacing w:val="-14"/>
          <w:position w:val="9"/>
          <w:sz w:val="16"/>
          <w:highlight w:val="none"/>
        </w:rPr>
        <w:t>3</w:t>
      </w:r>
      <w:r>
        <w:rPr>
          <w:rFonts w:hint="default" w:ascii="Times New Roman" w:hAnsi="Times New Roman" w:cs="Times New Roman"/>
          <w:color w:val="auto"/>
          <w:spacing w:val="-5"/>
          <w:highlight w:val="none"/>
        </w:rPr>
        <w:t>，由</w:t>
      </w:r>
      <w:r>
        <w:rPr>
          <w:rFonts w:hint="default" w:ascii="Times New Roman" w:hAnsi="Times New Roman" w:cs="Times New Roman"/>
          <w:color w:val="auto"/>
          <w:spacing w:val="-5"/>
          <w:highlight w:val="none"/>
          <w:lang w:val="en-US" w:eastAsia="zh-CN"/>
        </w:rPr>
        <w:t>衡阳市城市建设投资有限公司</w:t>
      </w:r>
      <w:r>
        <w:rPr>
          <w:rFonts w:hint="default" w:ascii="Times New Roman" w:hAnsi="Times New Roman" w:cs="Times New Roman"/>
          <w:color w:val="auto"/>
          <w:spacing w:val="-5"/>
          <w:highlight w:val="none"/>
        </w:rPr>
        <w:t>负责实施</w:t>
      </w:r>
      <w:r>
        <w:rPr>
          <w:rFonts w:hint="default" w:ascii="Times New Roman" w:hAnsi="Times New Roman" w:cs="Times New Roman"/>
          <w:color w:val="auto"/>
          <w:spacing w:val="-3"/>
          <w:highlight w:val="none"/>
        </w:rPr>
        <w:t>和统一调运；表土堆置量</w:t>
      </w:r>
      <w:r>
        <w:rPr>
          <w:rFonts w:hint="default" w:ascii="Times New Roman" w:hAnsi="Times New Roman" w:cs="Times New Roman"/>
          <w:color w:val="auto"/>
          <w:spacing w:val="-3"/>
          <w:highlight w:val="none"/>
          <w:lang w:val="en-US" w:eastAsia="zh-CN"/>
        </w:rPr>
        <w:t>0.74</w:t>
      </w:r>
      <w:r>
        <w:rPr>
          <w:rFonts w:hint="default" w:ascii="Times New Roman" w:hAnsi="Times New Roman" w:cs="Times New Roman"/>
          <w:color w:val="auto"/>
          <w:spacing w:val="-23"/>
          <w:highlight w:val="none"/>
        </w:rPr>
        <w:t xml:space="preserve">万 </w:t>
      </w:r>
      <w:r>
        <w:rPr>
          <w:rFonts w:hint="default" w:ascii="Times New Roman" w:hAnsi="Times New Roman" w:eastAsia="Times New Roman" w:cs="Times New Roman"/>
          <w:color w:val="auto"/>
          <w:highlight w:val="none"/>
        </w:rPr>
        <w:t>m</w:t>
      </w:r>
      <w:r>
        <w:rPr>
          <w:rFonts w:hint="default" w:ascii="Times New Roman" w:hAnsi="Times New Roman" w:eastAsia="Times New Roman" w:cs="Times New Roman"/>
          <w:color w:val="auto"/>
          <w:position w:val="9"/>
          <w:sz w:val="16"/>
          <w:highlight w:val="none"/>
        </w:rPr>
        <w:t>3</w:t>
      </w:r>
      <w:r>
        <w:rPr>
          <w:rFonts w:hint="default" w:ascii="Times New Roman" w:hAnsi="Times New Roman" w:cs="Times New Roman"/>
          <w:color w:val="auto"/>
          <w:spacing w:val="-2"/>
          <w:highlight w:val="none"/>
        </w:rPr>
        <w:t>，后期用于绿化</w:t>
      </w:r>
      <w:r>
        <w:rPr>
          <w:rFonts w:hint="default" w:ascii="Times New Roman" w:hAnsi="Times New Roman" w:cs="Times New Roman"/>
          <w:color w:val="auto"/>
          <w:spacing w:val="-2"/>
          <w:highlight w:val="none"/>
          <w:lang w:val="en-US" w:eastAsia="zh-CN"/>
        </w:rPr>
        <w:t>回填</w:t>
      </w:r>
      <w:r>
        <w:rPr>
          <w:rFonts w:hint="default" w:ascii="Times New Roman" w:hAnsi="Times New Roman" w:cs="Times New Roman"/>
          <w:color w:val="auto"/>
          <w:spacing w:val="-2"/>
          <w:highlight w:val="none"/>
        </w:rPr>
        <w:t xml:space="preserve">恢复， </w:t>
      </w:r>
      <w:r>
        <w:rPr>
          <w:rFonts w:hint="default" w:ascii="Times New Roman" w:hAnsi="Times New Roman" w:cs="Times New Roman"/>
          <w:color w:val="auto"/>
          <w:spacing w:val="-8"/>
          <w:highlight w:val="none"/>
        </w:rPr>
        <w:t xml:space="preserve">堆置过程中，采用了袋装土拦挡和覆盖。综上，弃渣和临时堆土数量 </w:t>
      </w:r>
      <w:r>
        <w:rPr>
          <w:rFonts w:hint="default" w:ascii="Times New Roman" w:hAnsi="Times New Roman" w:cs="Times New Roman"/>
          <w:color w:val="auto"/>
          <w:spacing w:val="-8"/>
          <w:highlight w:val="none"/>
          <w:lang w:val="en-US" w:eastAsia="zh-CN"/>
        </w:rPr>
        <w:t>5.02</w:t>
      </w:r>
      <w:r>
        <w:rPr>
          <w:rFonts w:hint="default" w:ascii="Times New Roman" w:hAnsi="Times New Roman" w:eastAsia="Times New Roman" w:cs="Times New Roman"/>
          <w:color w:val="auto"/>
          <w:highlight w:val="none"/>
        </w:rPr>
        <w:t xml:space="preserve"> </w:t>
      </w:r>
      <w:r>
        <w:rPr>
          <w:rFonts w:hint="default" w:ascii="Times New Roman" w:hAnsi="Times New Roman" w:cs="Times New Roman"/>
          <w:color w:val="auto"/>
          <w:spacing w:val="-30"/>
          <w:highlight w:val="none"/>
        </w:rPr>
        <w:t xml:space="preserve">万 </w:t>
      </w:r>
      <w:r>
        <w:rPr>
          <w:rFonts w:hint="default" w:ascii="Times New Roman" w:hAnsi="Times New Roman" w:eastAsia="Times New Roman" w:cs="Times New Roman"/>
          <w:color w:val="auto"/>
          <w:spacing w:val="-8"/>
          <w:highlight w:val="none"/>
        </w:rPr>
        <w:t>m</w:t>
      </w:r>
      <w:r>
        <w:rPr>
          <w:rFonts w:hint="default" w:ascii="Times New Roman" w:hAnsi="Times New Roman" w:eastAsia="Times New Roman" w:cs="Times New Roman"/>
          <w:color w:val="auto"/>
          <w:spacing w:val="-8"/>
          <w:position w:val="9"/>
          <w:sz w:val="16"/>
          <w:highlight w:val="none"/>
        </w:rPr>
        <w:t>3</w:t>
      </w:r>
      <w:r>
        <w:rPr>
          <w:rFonts w:hint="default" w:ascii="Times New Roman" w:hAnsi="Times New Roman" w:cs="Times New Roman"/>
          <w:color w:val="auto"/>
          <w:spacing w:val="-7"/>
          <w:highlight w:val="none"/>
        </w:rPr>
        <w:t>，实际</w:t>
      </w:r>
      <w:r>
        <w:rPr>
          <w:rFonts w:hint="default" w:ascii="Times New Roman" w:hAnsi="Times New Roman" w:cs="Times New Roman"/>
          <w:color w:val="auto"/>
          <w:spacing w:val="-13"/>
          <w:highlight w:val="none"/>
        </w:rPr>
        <w:t xml:space="preserve">挡护数量 </w:t>
      </w:r>
      <w:r>
        <w:rPr>
          <w:rFonts w:hint="default" w:ascii="Times New Roman" w:hAnsi="Times New Roman" w:cs="Times New Roman"/>
          <w:color w:val="auto"/>
          <w:spacing w:val="-13"/>
          <w:highlight w:val="none"/>
          <w:lang w:val="en-US" w:eastAsia="zh-CN"/>
        </w:rPr>
        <w:t>5.00</w:t>
      </w:r>
      <w:r>
        <w:rPr>
          <w:rFonts w:hint="default" w:ascii="Times New Roman" w:hAnsi="Times New Roman" w:eastAsia="Times New Roman" w:cs="Times New Roman"/>
          <w:color w:val="auto"/>
          <w:highlight w:val="none"/>
        </w:rPr>
        <w:t xml:space="preserve"> </w:t>
      </w:r>
      <w:r>
        <w:rPr>
          <w:rFonts w:hint="default" w:ascii="Times New Roman" w:hAnsi="Times New Roman" w:cs="Times New Roman"/>
          <w:color w:val="auto"/>
          <w:spacing w:val="-30"/>
          <w:highlight w:val="none"/>
        </w:rPr>
        <w:t xml:space="preserve">万 </w:t>
      </w:r>
      <w:r>
        <w:rPr>
          <w:rFonts w:hint="default" w:ascii="Times New Roman" w:hAnsi="Times New Roman" w:eastAsia="Times New Roman" w:cs="Times New Roman"/>
          <w:color w:val="auto"/>
          <w:highlight w:val="none"/>
        </w:rPr>
        <w:t>m</w:t>
      </w:r>
      <w:r>
        <w:rPr>
          <w:rFonts w:hint="default" w:ascii="Times New Roman" w:hAnsi="Times New Roman" w:eastAsia="Times New Roman" w:cs="Times New Roman"/>
          <w:color w:val="auto"/>
          <w:position w:val="9"/>
          <w:sz w:val="16"/>
          <w:highlight w:val="none"/>
        </w:rPr>
        <w:t>3</w:t>
      </w:r>
      <w:r>
        <w:rPr>
          <w:rFonts w:hint="default" w:ascii="Times New Roman" w:hAnsi="Times New Roman" w:cs="Times New Roman"/>
          <w:color w:val="auto"/>
          <w:spacing w:val="-10"/>
          <w:highlight w:val="none"/>
        </w:rPr>
        <w:t xml:space="preserve">，拦渣率为 </w:t>
      </w:r>
      <w:r>
        <w:rPr>
          <w:rFonts w:hint="default" w:ascii="Times New Roman" w:hAnsi="Times New Roman" w:eastAsia="Times New Roman" w:cs="Times New Roman"/>
          <w:color w:val="auto"/>
          <w:highlight w:val="none"/>
        </w:rPr>
        <w:t>%</w:t>
      </w:r>
      <w:r>
        <w:rPr>
          <w:rFonts w:hint="default" w:ascii="Times New Roman" w:hAnsi="Times New Roman" w:cs="Times New Roman"/>
          <w:color w:val="auto"/>
          <w:highlight w:val="none"/>
        </w:rPr>
        <w:t>。</w:t>
      </w:r>
    </w:p>
    <w:p>
      <w:pPr>
        <w:pStyle w:val="8"/>
        <w:spacing w:before="123" w:after="26"/>
        <w:ind w:left="3473"/>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拦渣率情况表</w:t>
      </w:r>
    </w:p>
    <w:tbl>
      <w:tblPr>
        <w:tblStyle w:val="19"/>
        <w:tblW w:w="0" w:type="auto"/>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603"/>
        <w:gridCol w:w="3327"/>
        <w:gridCol w:w="2728"/>
        <w:gridCol w:w="16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35" w:hRule="atLeast"/>
          <w:jc w:val="center"/>
        </w:trPr>
        <w:tc>
          <w:tcPr>
            <w:tcW w:w="1603" w:type="dxa"/>
          </w:tcPr>
          <w:p>
            <w:pPr>
              <w:pStyle w:val="24"/>
              <w:spacing w:before="2"/>
              <w:jc w:val="left"/>
              <w:rPr>
                <w:rFonts w:hint="default" w:ascii="Times New Roman" w:hAnsi="Times New Roman" w:cs="Times New Roman"/>
                <w:color w:val="auto"/>
                <w:sz w:val="14"/>
                <w:highlight w:val="none"/>
              </w:rPr>
            </w:pPr>
          </w:p>
          <w:p>
            <w:pPr>
              <w:pStyle w:val="24"/>
              <w:ind w:left="361" w:right="342"/>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项目</w:t>
            </w:r>
          </w:p>
        </w:tc>
        <w:tc>
          <w:tcPr>
            <w:tcW w:w="3327" w:type="dxa"/>
          </w:tcPr>
          <w:p>
            <w:pPr>
              <w:pStyle w:val="24"/>
              <w:spacing w:before="181"/>
              <w:ind w:left="287" w:right="272"/>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永久弃渣</w:t>
            </w:r>
            <w:r>
              <w:rPr>
                <w:rFonts w:hint="default" w:ascii="Times New Roman" w:hAnsi="Times New Roman" w:eastAsia="Times New Roman" w:cs="Times New Roman"/>
                <w:color w:val="auto"/>
                <w:sz w:val="21"/>
                <w:highlight w:val="none"/>
              </w:rPr>
              <w:t>/</w:t>
            </w:r>
            <w:r>
              <w:rPr>
                <w:rFonts w:hint="default" w:ascii="Times New Roman" w:hAnsi="Times New Roman" w:cs="Times New Roman"/>
                <w:color w:val="auto"/>
                <w:sz w:val="21"/>
                <w:highlight w:val="none"/>
              </w:rPr>
              <w:t xml:space="preserve">临时堆土（万 </w:t>
            </w:r>
            <w:r>
              <w:rPr>
                <w:rFonts w:hint="default" w:ascii="Times New Roman" w:hAnsi="Times New Roman" w:eastAsia="Times New Roman" w:cs="Times New Roman"/>
                <w:color w:val="auto"/>
                <w:sz w:val="21"/>
                <w:highlight w:val="none"/>
              </w:rPr>
              <w:t>m</w:t>
            </w:r>
            <w:r>
              <w:rPr>
                <w:rFonts w:hint="default" w:ascii="Times New Roman" w:hAnsi="Times New Roman" w:eastAsia="Times New Roman" w:cs="Times New Roman"/>
                <w:color w:val="auto"/>
                <w:position w:val="8"/>
                <w:sz w:val="14"/>
                <w:highlight w:val="none"/>
              </w:rPr>
              <w:t>3</w:t>
            </w:r>
            <w:r>
              <w:rPr>
                <w:rFonts w:hint="default" w:ascii="Times New Roman" w:hAnsi="Times New Roman" w:cs="Times New Roman"/>
                <w:color w:val="auto"/>
                <w:sz w:val="21"/>
                <w:highlight w:val="none"/>
              </w:rPr>
              <w:t>）</w:t>
            </w:r>
          </w:p>
        </w:tc>
        <w:tc>
          <w:tcPr>
            <w:tcW w:w="2728" w:type="dxa"/>
          </w:tcPr>
          <w:p>
            <w:pPr>
              <w:pStyle w:val="24"/>
              <w:spacing w:before="45"/>
              <w:ind w:left="160" w:right="139"/>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挡护弃渣</w:t>
            </w:r>
            <w:r>
              <w:rPr>
                <w:rFonts w:hint="default" w:ascii="Times New Roman" w:hAnsi="Times New Roman" w:eastAsia="Times New Roman" w:cs="Times New Roman"/>
                <w:color w:val="auto"/>
                <w:sz w:val="21"/>
                <w:highlight w:val="none"/>
              </w:rPr>
              <w:t>/</w:t>
            </w:r>
            <w:r>
              <w:rPr>
                <w:rFonts w:hint="default" w:ascii="Times New Roman" w:hAnsi="Times New Roman" w:cs="Times New Roman"/>
                <w:color w:val="auto"/>
                <w:sz w:val="21"/>
                <w:highlight w:val="none"/>
              </w:rPr>
              <w:t>临时堆土量（万</w:t>
            </w:r>
          </w:p>
          <w:p>
            <w:pPr>
              <w:pStyle w:val="24"/>
              <w:spacing w:before="3"/>
              <w:ind w:left="158" w:right="139"/>
              <w:rPr>
                <w:rFonts w:hint="default" w:ascii="Times New Roman" w:hAnsi="Times New Roman" w:cs="Times New Roman"/>
                <w:color w:val="auto"/>
                <w:sz w:val="21"/>
                <w:highlight w:val="none"/>
              </w:rPr>
            </w:pPr>
            <w:r>
              <w:rPr>
                <w:rFonts w:hint="default" w:ascii="Times New Roman" w:hAnsi="Times New Roman" w:eastAsia="Times New Roman" w:cs="Times New Roman"/>
                <w:color w:val="auto"/>
                <w:sz w:val="21"/>
                <w:highlight w:val="none"/>
              </w:rPr>
              <w:t>m</w:t>
            </w:r>
            <w:r>
              <w:rPr>
                <w:rFonts w:hint="default" w:ascii="Times New Roman" w:hAnsi="Times New Roman" w:eastAsia="Times New Roman" w:cs="Times New Roman"/>
                <w:color w:val="auto"/>
                <w:position w:val="8"/>
                <w:sz w:val="14"/>
                <w:highlight w:val="none"/>
              </w:rPr>
              <w:t>3</w:t>
            </w:r>
            <w:r>
              <w:rPr>
                <w:rFonts w:hint="default" w:ascii="Times New Roman" w:hAnsi="Times New Roman" w:cs="Times New Roman"/>
                <w:color w:val="auto"/>
                <w:sz w:val="21"/>
                <w:highlight w:val="none"/>
              </w:rPr>
              <w:t>）</w:t>
            </w:r>
          </w:p>
        </w:tc>
        <w:tc>
          <w:tcPr>
            <w:tcW w:w="1626" w:type="dxa"/>
          </w:tcPr>
          <w:p>
            <w:pPr>
              <w:pStyle w:val="24"/>
              <w:spacing w:before="182"/>
              <w:ind w:left="392" w:right="369"/>
              <w:rPr>
                <w:rFonts w:hint="default" w:ascii="Times New Roman" w:hAnsi="Times New Roman" w:eastAsia="Times New Roman" w:cs="Times New Roman"/>
                <w:color w:val="auto"/>
                <w:sz w:val="21"/>
                <w:highlight w:val="none"/>
              </w:rPr>
            </w:pPr>
            <w:r>
              <w:rPr>
                <w:rFonts w:hint="default" w:ascii="Times New Roman" w:hAnsi="Times New Roman" w:cs="Times New Roman"/>
                <w:color w:val="auto"/>
                <w:sz w:val="21"/>
                <w:highlight w:val="none"/>
              </w:rPr>
              <w:t>拦渣率</w:t>
            </w:r>
            <w:r>
              <w:rPr>
                <w:rFonts w:hint="default" w:ascii="Times New Roman" w:hAnsi="Times New Roman" w:eastAsia="Times New Roman" w:cs="Times New Roman"/>
                <w:color w:val="auto"/>
                <w:sz w:val="21"/>
                <w:highlight w:val="none"/>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0" w:hRule="atLeast"/>
          <w:jc w:val="center"/>
        </w:trPr>
        <w:tc>
          <w:tcPr>
            <w:tcW w:w="1603" w:type="dxa"/>
          </w:tcPr>
          <w:p>
            <w:pPr>
              <w:pStyle w:val="24"/>
              <w:spacing w:before="15" w:line="265" w:lineRule="exact"/>
              <w:ind w:left="361" w:right="342"/>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弃渣</w:t>
            </w:r>
          </w:p>
        </w:tc>
        <w:tc>
          <w:tcPr>
            <w:tcW w:w="3327" w:type="dxa"/>
          </w:tcPr>
          <w:p>
            <w:pPr>
              <w:pStyle w:val="24"/>
              <w:spacing w:before="28"/>
              <w:ind w:left="287" w:right="270"/>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4.28</w:t>
            </w:r>
          </w:p>
        </w:tc>
        <w:tc>
          <w:tcPr>
            <w:tcW w:w="2728" w:type="dxa"/>
          </w:tcPr>
          <w:p>
            <w:pPr>
              <w:pStyle w:val="24"/>
              <w:spacing w:before="28"/>
              <w:ind w:left="160" w:right="138"/>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4.27</w:t>
            </w:r>
          </w:p>
        </w:tc>
        <w:tc>
          <w:tcPr>
            <w:tcW w:w="1626" w:type="dxa"/>
          </w:tcPr>
          <w:p>
            <w:pPr>
              <w:pStyle w:val="24"/>
              <w:spacing w:before="28"/>
              <w:ind w:left="392" w:right="367"/>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99.9%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0" w:hRule="atLeast"/>
          <w:jc w:val="center"/>
        </w:trPr>
        <w:tc>
          <w:tcPr>
            <w:tcW w:w="1603" w:type="dxa"/>
          </w:tcPr>
          <w:p>
            <w:pPr>
              <w:pStyle w:val="24"/>
              <w:spacing w:before="14" w:line="266" w:lineRule="exact"/>
              <w:ind w:left="361" w:right="342"/>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表土堆放</w:t>
            </w:r>
          </w:p>
        </w:tc>
        <w:tc>
          <w:tcPr>
            <w:tcW w:w="3327" w:type="dxa"/>
          </w:tcPr>
          <w:p>
            <w:pPr>
              <w:pStyle w:val="24"/>
              <w:spacing w:before="28"/>
              <w:ind w:left="287" w:right="270"/>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rPr>
              <w:t>0.</w:t>
            </w:r>
            <w:r>
              <w:rPr>
                <w:rFonts w:hint="default" w:ascii="Times New Roman" w:hAnsi="Times New Roman" w:cs="Times New Roman"/>
                <w:color w:val="auto"/>
                <w:sz w:val="21"/>
                <w:highlight w:val="none"/>
                <w:lang w:val="en-US" w:eastAsia="zh-CN"/>
              </w:rPr>
              <w:t>74</w:t>
            </w:r>
          </w:p>
        </w:tc>
        <w:tc>
          <w:tcPr>
            <w:tcW w:w="2728" w:type="dxa"/>
          </w:tcPr>
          <w:p>
            <w:pPr>
              <w:pStyle w:val="24"/>
              <w:spacing w:before="28"/>
              <w:ind w:left="160" w:right="139"/>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rPr>
              <w:t>0.</w:t>
            </w:r>
            <w:r>
              <w:rPr>
                <w:rFonts w:hint="default" w:ascii="Times New Roman" w:hAnsi="Times New Roman" w:cs="Times New Roman"/>
                <w:color w:val="auto"/>
                <w:sz w:val="21"/>
                <w:highlight w:val="none"/>
                <w:lang w:val="en-US" w:eastAsia="zh-CN"/>
              </w:rPr>
              <w:t>74</w:t>
            </w:r>
          </w:p>
        </w:tc>
        <w:tc>
          <w:tcPr>
            <w:tcW w:w="1626" w:type="dxa"/>
          </w:tcPr>
          <w:p>
            <w:pPr>
              <w:pStyle w:val="24"/>
              <w:spacing w:before="28"/>
              <w:ind w:left="392" w:right="368"/>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jc w:val="center"/>
        </w:trPr>
        <w:tc>
          <w:tcPr>
            <w:tcW w:w="1603" w:type="dxa"/>
          </w:tcPr>
          <w:p>
            <w:pPr>
              <w:pStyle w:val="24"/>
              <w:spacing w:before="14" w:line="265" w:lineRule="exact"/>
              <w:ind w:left="361" w:right="342"/>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合计</w:t>
            </w:r>
          </w:p>
        </w:tc>
        <w:tc>
          <w:tcPr>
            <w:tcW w:w="3327" w:type="dxa"/>
          </w:tcPr>
          <w:p>
            <w:pPr>
              <w:pStyle w:val="24"/>
              <w:spacing w:before="28"/>
              <w:ind w:left="287" w:right="270"/>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5.02</w:t>
            </w:r>
          </w:p>
        </w:tc>
        <w:tc>
          <w:tcPr>
            <w:tcW w:w="2728" w:type="dxa"/>
          </w:tcPr>
          <w:p>
            <w:pPr>
              <w:pStyle w:val="24"/>
              <w:spacing w:before="28"/>
              <w:ind w:left="160" w:right="138"/>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5.01</w:t>
            </w:r>
          </w:p>
        </w:tc>
        <w:tc>
          <w:tcPr>
            <w:tcW w:w="1626" w:type="dxa"/>
          </w:tcPr>
          <w:p>
            <w:pPr>
              <w:pStyle w:val="24"/>
              <w:spacing w:before="28"/>
              <w:ind w:left="392" w:right="367"/>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9</w:t>
            </w:r>
            <w:r>
              <w:rPr>
                <w:rFonts w:hint="default" w:ascii="Times New Roman" w:hAnsi="Times New Roman" w:cs="Times New Roman"/>
                <w:color w:val="auto"/>
                <w:sz w:val="21"/>
                <w:highlight w:val="none"/>
                <w:lang w:val="en-US" w:eastAsia="zh-CN"/>
              </w:rPr>
              <w:t>9.8</w:t>
            </w:r>
            <w:r>
              <w:rPr>
                <w:rFonts w:hint="default" w:ascii="Times New Roman" w:hAnsi="Times New Roman" w:cs="Times New Roman"/>
                <w:color w:val="auto"/>
                <w:sz w:val="21"/>
                <w:highlight w:val="none"/>
              </w:rPr>
              <w:t>%</w:t>
            </w:r>
          </w:p>
        </w:tc>
      </w:tr>
    </w:tbl>
    <w:p>
      <w:pPr>
        <w:pStyle w:val="3"/>
        <w:bidi w:val="0"/>
        <w:rPr>
          <w:rFonts w:hint="default" w:ascii="Times New Roman" w:hAnsi="Times New Roman" w:cs="Times New Roman"/>
          <w:color w:val="auto"/>
          <w:highlight w:val="none"/>
          <w:lang w:val="en-US" w:eastAsia="zh-CN"/>
        </w:rPr>
      </w:pPr>
      <w:bookmarkStart w:id="326" w:name="_Toc14226"/>
      <w:bookmarkStart w:id="327" w:name="_Toc6861"/>
      <w:bookmarkStart w:id="328" w:name="_Toc17673"/>
      <w:bookmarkStart w:id="329" w:name="_Toc383"/>
      <w:r>
        <w:rPr>
          <w:rFonts w:hint="default" w:ascii="Times New Roman" w:hAnsi="Times New Roman" w:cs="Times New Roman"/>
          <w:color w:val="auto"/>
          <w:highlight w:val="none"/>
          <w:lang w:val="en-US" w:eastAsia="zh-CN"/>
        </w:rPr>
        <w:t>6.4 土壤流失控制比</w:t>
      </w:r>
      <w:bookmarkEnd w:id="326"/>
      <w:bookmarkEnd w:id="327"/>
      <w:bookmarkEnd w:id="328"/>
      <w:bookmarkEnd w:id="329"/>
    </w:p>
    <w:p>
      <w:pPr>
        <w:pStyle w:val="3"/>
        <w:bidi w:val="0"/>
        <w:rPr>
          <w:rFonts w:hint="default" w:ascii="Times New Roman" w:hAnsi="Times New Roman" w:cs="Times New Roman"/>
          <w:color w:val="auto"/>
          <w:highlight w:val="none"/>
          <w:lang w:val="en-US" w:eastAsia="zh-CN"/>
        </w:rPr>
      </w:pPr>
      <w:bookmarkStart w:id="330" w:name="_Toc17413"/>
      <w:bookmarkStart w:id="331" w:name="_Toc15592"/>
      <w:bookmarkStart w:id="332" w:name="_Toc16568"/>
      <w:r>
        <w:rPr>
          <w:rFonts w:hint="default" w:ascii="Times New Roman" w:hAnsi="Times New Roman" w:cs="Times New Roman"/>
          <w:color w:val="auto"/>
          <w:highlight w:val="none"/>
          <w:lang w:val="en-US" w:eastAsia="zh-CN"/>
        </w:rPr>
        <w:t>6.5 林草植被恢复率</w:t>
      </w:r>
      <w:bookmarkEnd w:id="330"/>
      <w:bookmarkEnd w:id="331"/>
      <w:bookmarkEnd w:id="332"/>
    </w:p>
    <w:p>
      <w:pPr>
        <w:keepNext w:val="0"/>
        <w:keepLines w:val="0"/>
        <w:pageBreakBefore w:val="0"/>
        <w:widowControl w:val="0"/>
        <w:kinsoku/>
        <w:wordWrap/>
        <w:overflowPunct/>
        <w:topLinePunct w:val="0"/>
        <w:autoSpaceDE/>
        <w:autoSpaceDN/>
        <w:bidi w:val="0"/>
        <w:adjustRightInd/>
        <w:snapToGrid/>
        <w:spacing w:line="360" w:lineRule="auto"/>
        <w:ind w:firstLine="456"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spacing w:val="-6"/>
          <w:highlight w:val="none"/>
        </w:rPr>
        <w:t xml:space="preserve">本工程扰动土地面积为 </w:t>
      </w:r>
      <w:r>
        <w:rPr>
          <w:rFonts w:hint="default" w:ascii="Times New Roman" w:hAnsi="Times New Roman" w:eastAsia="Times New Roman" w:cs="Times New Roman"/>
          <w:color w:val="auto"/>
          <w:spacing w:val="-4"/>
          <w:highlight w:val="none"/>
        </w:rPr>
        <w:t>78hm</w:t>
      </w:r>
      <w:r>
        <w:rPr>
          <w:rFonts w:hint="default" w:ascii="Times New Roman" w:hAnsi="Times New Roman" w:eastAsia="Times New Roman" w:cs="Times New Roman"/>
          <w:color w:val="auto"/>
          <w:spacing w:val="-4"/>
          <w:position w:val="9"/>
          <w:sz w:val="16"/>
          <w:highlight w:val="none"/>
        </w:rPr>
        <w:t>2</w:t>
      </w:r>
      <w:r>
        <w:rPr>
          <w:rFonts w:hint="default" w:ascii="Times New Roman" w:hAnsi="Times New Roman" w:cs="Times New Roman"/>
          <w:color w:val="auto"/>
          <w:spacing w:val="-8"/>
          <w:highlight w:val="none"/>
        </w:rPr>
        <w:t xml:space="preserve">，可恢复植被的面积为 </w:t>
      </w:r>
      <w:r>
        <w:rPr>
          <w:rFonts w:hint="default" w:ascii="Times New Roman" w:hAnsi="Times New Roman" w:eastAsia="Times New Roman" w:cs="Times New Roman"/>
          <w:color w:val="auto"/>
          <w:spacing w:val="-3"/>
          <w:highlight w:val="none"/>
        </w:rPr>
        <w:t>21.24hm</w:t>
      </w:r>
      <w:r>
        <w:rPr>
          <w:rFonts w:hint="default" w:ascii="Times New Roman" w:hAnsi="Times New Roman" w:eastAsia="Times New Roman" w:cs="Times New Roman"/>
          <w:color w:val="auto"/>
          <w:spacing w:val="-3"/>
          <w:position w:val="9"/>
          <w:sz w:val="16"/>
          <w:highlight w:val="none"/>
        </w:rPr>
        <w:t>2</w:t>
      </w:r>
      <w:r>
        <w:rPr>
          <w:rFonts w:hint="default" w:ascii="Times New Roman" w:hAnsi="Times New Roman" w:cs="Times New Roman"/>
          <w:color w:val="auto"/>
          <w:spacing w:val="-4"/>
          <w:highlight w:val="none"/>
        </w:rPr>
        <w:t>，至水土保持监测期</w:t>
      </w:r>
      <w:r>
        <w:rPr>
          <w:rFonts w:hint="default" w:ascii="Times New Roman" w:hAnsi="Times New Roman" w:cs="Times New Roman"/>
          <w:color w:val="auto"/>
          <w:spacing w:val="-2"/>
          <w:highlight w:val="none"/>
        </w:rPr>
        <w:t xml:space="preserve">末，林草植被恢复面积为 </w:t>
      </w:r>
      <w:r>
        <w:rPr>
          <w:rFonts w:hint="default" w:ascii="Times New Roman" w:hAnsi="Times New Roman" w:eastAsia="Times New Roman" w:cs="Times New Roman"/>
          <w:color w:val="auto"/>
          <w:highlight w:val="none"/>
        </w:rPr>
        <w:t>21.08hm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2"/>
          <w:highlight w:val="none"/>
        </w:rPr>
        <w:t xml:space="preserve">，林草植被恢复率为 </w:t>
      </w:r>
      <w:r>
        <w:rPr>
          <w:rFonts w:hint="default" w:ascii="Times New Roman" w:hAnsi="Times New Roman" w:eastAsia="Times New Roman" w:cs="Times New Roman"/>
          <w:color w:val="auto"/>
          <w:highlight w:val="none"/>
        </w:rPr>
        <w:t>99.25%</w:t>
      </w:r>
      <w:r>
        <w:rPr>
          <w:rFonts w:hint="default" w:ascii="Times New Roman" w:hAnsi="Times New Roman" w:cs="Times New Roman"/>
          <w:color w:val="auto"/>
          <w:spacing w:val="-2"/>
          <w:highlight w:val="none"/>
        </w:rPr>
        <w:t>，达到方案报告书确定</w:t>
      </w:r>
      <w:r>
        <w:rPr>
          <w:rFonts w:hint="default" w:ascii="Times New Roman" w:hAnsi="Times New Roman" w:cs="Times New Roman"/>
          <w:color w:val="auto"/>
          <w:spacing w:val="-4"/>
          <w:highlight w:val="none"/>
        </w:rPr>
        <w:t xml:space="preserve">的目标值。林草植被恢复率分析见表 </w:t>
      </w:r>
      <w:r>
        <w:rPr>
          <w:rFonts w:hint="default" w:ascii="Times New Roman" w:hAnsi="Times New Roman" w:eastAsia="Times New Roman" w:cs="Times New Roman"/>
          <w:color w:val="auto"/>
          <w:highlight w:val="none"/>
        </w:rPr>
        <w:t>6.6</w:t>
      </w:r>
      <w:r>
        <w:rPr>
          <w:rFonts w:hint="default" w:ascii="Times New Roman" w:hAnsi="Times New Roman" w:cs="Times New Roman"/>
          <w:color w:val="auto"/>
          <w:highlight w:val="none"/>
        </w:rPr>
        <w:t>。</w:t>
      </w:r>
    </w:p>
    <w:p>
      <w:pPr>
        <w:pStyle w:val="3"/>
        <w:bidi w:val="0"/>
        <w:rPr>
          <w:rFonts w:hint="default" w:ascii="Times New Roman" w:hAnsi="Times New Roman" w:cs="Times New Roman"/>
          <w:color w:val="auto"/>
          <w:highlight w:val="none"/>
          <w:lang w:val="en-US" w:eastAsia="zh-CN"/>
        </w:rPr>
      </w:pPr>
      <w:bookmarkStart w:id="333" w:name="_Toc9249"/>
      <w:bookmarkStart w:id="334" w:name="_Toc9831"/>
      <w:bookmarkStart w:id="335" w:name="_Toc1112"/>
      <w:bookmarkStart w:id="336" w:name="_Toc25904"/>
      <w:r>
        <w:rPr>
          <w:rFonts w:hint="default" w:ascii="Times New Roman" w:hAnsi="Times New Roman" w:cs="Times New Roman"/>
          <w:color w:val="auto"/>
          <w:highlight w:val="none"/>
          <w:lang w:val="en-US" w:eastAsia="zh-CN"/>
        </w:rPr>
        <w:t>6.6林草覆盖率</w:t>
      </w:r>
      <w:bookmarkEnd w:id="333"/>
      <w:bookmarkEnd w:id="334"/>
      <w:bookmarkEnd w:id="335"/>
      <w:bookmarkEnd w:id="33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本工程实际占用及扰动面积为</w:t>
      </w:r>
      <w:r>
        <w:rPr>
          <w:rFonts w:hint="default" w:ascii="Times New Roman" w:hAnsi="Times New Roman" w:cs="Times New Roman"/>
          <w:color w:val="auto"/>
          <w:highlight w:val="none"/>
          <w:lang w:val="en-US" w:eastAsia="zh-CN"/>
        </w:rPr>
        <w:t>8.51</w:t>
      </w:r>
      <w:r>
        <w:rPr>
          <w:rFonts w:hint="default" w:ascii="Times New Roman" w:hAnsi="Times New Roman" w:cs="Times New Roman"/>
          <w:color w:val="auto"/>
          <w:highlight w:val="none"/>
        </w:rPr>
        <w:t>hm2，植物措施面积为</w:t>
      </w:r>
      <w:r>
        <w:rPr>
          <w:rFonts w:hint="default" w:ascii="Times New Roman" w:hAnsi="Times New Roman" w:cs="Times New Roman"/>
          <w:color w:val="auto"/>
          <w:highlight w:val="none"/>
          <w:lang w:val="en-US" w:eastAsia="zh-CN"/>
        </w:rPr>
        <w:t>5.12</w:t>
      </w:r>
      <w:r>
        <w:rPr>
          <w:rFonts w:hint="default" w:ascii="Times New Roman" w:hAnsi="Times New Roman" w:cs="Times New Roman"/>
          <w:color w:val="auto"/>
          <w:highlight w:val="none"/>
        </w:rPr>
        <w:t>hm2，项目区可绿化面积（除路面、各类建筑物的地面硬化、各类工程措施覆盖地表面积）</w:t>
      </w:r>
      <w:r>
        <w:rPr>
          <w:rFonts w:hint="default" w:ascii="Times New Roman" w:hAnsi="Times New Roman" w:cs="Times New Roman"/>
          <w:color w:val="auto"/>
          <w:highlight w:val="none"/>
          <w:lang w:val="en-US" w:eastAsia="zh-CN"/>
        </w:rPr>
        <w:t>5.12</w:t>
      </w:r>
      <w:r>
        <w:rPr>
          <w:rFonts w:hint="default" w:ascii="Times New Roman" w:hAnsi="Times New Roman" w:cs="Times New Roman"/>
          <w:color w:val="auto"/>
          <w:highlight w:val="none"/>
        </w:rPr>
        <w:t xml:space="preserve">hm2，项目建设区综合林草覆盖率达到 </w:t>
      </w:r>
      <w:r>
        <w:rPr>
          <w:rFonts w:hint="default" w:ascii="Times New Roman" w:hAnsi="Times New Roman" w:cs="Times New Roman"/>
          <w:color w:val="auto"/>
          <w:highlight w:val="none"/>
          <w:lang w:val="en-US" w:eastAsia="zh-CN"/>
        </w:rPr>
        <w:t>99.5</w:t>
      </w:r>
      <w:r>
        <w:rPr>
          <w:rFonts w:hint="default" w:ascii="Times New Roman" w:hAnsi="Times New Roman" w:cs="Times New Roman"/>
          <w:color w:val="auto"/>
          <w:highlight w:val="none"/>
        </w:rPr>
        <w:t xml:space="preserve">%，林草恢复率达到 </w:t>
      </w:r>
      <w:r>
        <w:rPr>
          <w:rFonts w:hint="default" w:ascii="Times New Roman" w:hAnsi="Times New Roman" w:cs="Times New Roman"/>
          <w:color w:val="auto"/>
          <w:highlight w:val="none"/>
          <w:lang w:val="en-US" w:eastAsia="zh-CN"/>
        </w:rPr>
        <w:t>60.31</w:t>
      </w:r>
      <w:r>
        <w:rPr>
          <w:rFonts w:hint="default" w:ascii="Times New Roman" w:hAnsi="Times New Roman" w:cs="Times New Roman"/>
          <w:color w:val="auto"/>
          <w:highlight w:val="none"/>
        </w:rPr>
        <w:t>%。由上述分析可知，本项目林草植被恢复率及林草覆盖率基本达到了方案防治标准的要求。各分区林草覆盖率情况详见表 6.6。</w:t>
      </w:r>
    </w:p>
    <w:p>
      <w:pPr>
        <w:pStyle w:val="8"/>
        <w:tabs>
          <w:tab w:val="left" w:pos="6049"/>
        </w:tabs>
        <w:spacing w:before="82" w:after="2"/>
        <w:ind w:left="2390"/>
        <w:rPr>
          <w:rFonts w:hint="default" w:ascii="Times New Roman" w:hAnsi="Times New Roman" w:eastAsia="Times New Roman" w:cs="Times New Roman"/>
          <w:color w:val="auto"/>
          <w:sz w:val="16"/>
          <w:highlight w:val="none"/>
        </w:rPr>
      </w:pPr>
      <w:r>
        <w:rPr>
          <w:rFonts w:hint="default" w:ascii="Times New Roman" w:hAnsi="Times New Roman" w:cs="Times New Roman"/>
          <w:color w:val="auto"/>
          <w:highlight w:val="none"/>
        </w:rPr>
        <w:t>表</w:t>
      </w:r>
      <w:r>
        <w:rPr>
          <w:rFonts w:hint="default" w:ascii="Times New Roman" w:hAnsi="Times New Roman" w:cs="Times New Roman"/>
          <w:color w:val="auto"/>
          <w:spacing w:val="-60"/>
          <w:highlight w:val="none"/>
        </w:rPr>
        <w:t xml:space="preserve"> </w:t>
      </w:r>
      <w:r>
        <w:rPr>
          <w:rFonts w:hint="default" w:ascii="Times New Roman" w:hAnsi="Times New Roman" w:eastAsia="Times New Roman" w:cs="Times New Roman"/>
          <w:color w:val="auto"/>
          <w:highlight w:val="none"/>
        </w:rPr>
        <w:t xml:space="preserve">6.6 </w:t>
      </w:r>
      <w:r>
        <w:rPr>
          <w:rFonts w:hint="default" w:ascii="Times New Roman" w:hAnsi="Times New Roman" w:cs="Times New Roman"/>
          <w:color w:val="auto"/>
          <w:highlight w:val="none"/>
        </w:rPr>
        <w:t>各分区林草覆盖率情况表</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t>单位：</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bl>
      <w:tblPr>
        <w:tblStyle w:val="19"/>
        <w:tblW w:w="92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82"/>
        <w:gridCol w:w="1358"/>
        <w:gridCol w:w="1359"/>
        <w:gridCol w:w="1359"/>
        <w:gridCol w:w="1371"/>
        <w:gridCol w:w="13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2482" w:type="dxa"/>
          </w:tcPr>
          <w:p>
            <w:pPr>
              <w:pStyle w:val="24"/>
              <w:spacing w:before="152"/>
              <w:ind w:left="695" w:right="68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分区</w:t>
            </w:r>
          </w:p>
        </w:tc>
        <w:tc>
          <w:tcPr>
            <w:tcW w:w="1358" w:type="dxa"/>
          </w:tcPr>
          <w:p>
            <w:pPr>
              <w:pStyle w:val="24"/>
              <w:spacing w:before="14" w:line="270" w:lineRule="atLeast"/>
              <w:ind w:left="467" w:right="144" w:hanging="316"/>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项目建设区面积</w:t>
            </w:r>
          </w:p>
        </w:tc>
        <w:tc>
          <w:tcPr>
            <w:tcW w:w="1359" w:type="dxa"/>
          </w:tcPr>
          <w:p>
            <w:pPr>
              <w:pStyle w:val="24"/>
              <w:spacing w:before="14" w:line="270" w:lineRule="atLeast"/>
              <w:ind w:left="467" w:right="144" w:hanging="316"/>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可恢复植被面积</w:t>
            </w:r>
          </w:p>
        </w:tc>
        <w:tc>
          <w:tcPr>
            <w:tcW w:w="1359" w:type="dxa"/>
          </w:tcPr>
          <w:p>
            <w:pPr>
              <w:pStyle w:val="24"/>
              <w:spacing w:before="152"/>
              <w:ind w:left="340" w:right="339"/>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已恢复</w:t>
            </w:r>
          </w:p>
        </w:tc>
        <w:tc>
          <w:tcPr>
            <w:tcW w:w="1371" w:type="dxa"/>
          </w:tcPr>
          <w:p>
            <w:pPr>
              <w:pStyle w:val="24"/>
              <w:spacing w:before="14" w:line="270" w:lineRule="atLeast"/>
              <w:ind w:left="383" w:right="151" w:hanging="227"/>
              <w:jc w:val="left"/>
              <w:rPr>
                <w:rFonts w:hint="default" w:ascii="Times New Roman" w:hAnsi="Times New Roman" w:eastAsia="Times New Roman" w:cs="Times New Roman"/>
                <w:color w:val="auto"/>
                <w:sz w:val="21"/>
                <w:highlight w:val="none"/>
              </w:rPr>
            </w:pPr>
            <w:r>
              <w:rPr>
                <w:rFonts w:hint="default" w:ascii="Times New Roman" w:hAnsi="Times New Roman" w:cs="Times New Roman"/>
                <w:color w:val="auto"/>
                <w:sz w:val="21"/>
                <w:highlight w:val="none"/>
              </w:rPr>
              <w:t>林草植被恢复率</w:t>
            </w:r>
            <w:r>
              <w:rPr>
                <w:rFonts w:hint="default" w:ascii="Times New Roman" w:hAnsi="Times New Roman" w:eastAsia="Times New Roman" w:cs="Times New Roman"/>
                <w:color w:val="auto"/>
                <w:sz w:val="21"/>
                <w:highlight w:val="none"/>
              </w:rPr>
              <w:t>%</w:t>
            </w:r>
          </w:p>
        </w:tc>
        <w:tc>
          <w:tcPr>
            <w:tcW w:w="1361" w:type="dxa"/>
          </w:tcPr>
          <w:p>
            <w:pPr>
              <w:pStyle w:val="24"/>
              <w:spacing w:before="14" w:line="270" w:lineRule="atLeast"/>
              <w:ind w:left="484" w:right="251" w:hanging="227"/>
              <w:jc w:val="left"/>
              <w:rPr>
                <w:rFonts w:hint="default" w:ascii="Times New Roman" w:hAnsi="Times New Roman" w:eastAsia="Times New Roman" w:cs="Times New Roman"/>
                <w:color w:val="auto"/>
                <w:sz w:val="21"/>
                <w:highlight w:val="none"/>
              </w:rPr>
            </w:pPr>
            <w:r>
              <w:rPr>
                <w:rFonts w:hint="default" w:ascii="Times New Roman" w:hAnsi="Times New Roman" w:cs="Times New Roman"/>
                <w:color w:val="auto"/>
                <w:sz w:val="21"/>
                <w:highlight w:val="none"/>
              </w:rPr>
              <w:t>林草覆盖率</w:t>
            </w:r>
            <w:r>
              <w:rPr>
                <w:rFonts w:hint="default" w:ascii="Times New Roman" w:hAnsi="Times New Roman" w:eastAsia="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主体工程区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3.80</w:t>
            </w:r>
          </w:p>
        </w:tc>
        <w:tc>
          <w:tcPr>
            <w:tcW w:w="1359"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1.13</w:t>
            </w:r>
          </w:p>
        </w:tc>
        <w:tc>
          <w:tcPr>
            <w:tcW w:w="1359"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1.12</w:t>
            </w:r>
          </w:p>
        </w:tc>
        <w:tc>
          <w:tcPr>
            <w:tcW w:w="1371" w:type="dxa"/>
          </w:tcPr>
          <w:p>
            <w:pPr>
              <w:pStyle w:val="24"/>
              <w:spacing w:before="22"/>
              <w:ind w:left="357"/>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99.</w:t>
            </w:r>
            <w:r>
              <w:rPr>
                <w:rFonts w:hint="default" w:ascii="Times New Roman" w:hAnsi="Times New Roman" w:cs="Times New Roman"/>
                <w:color w:val="auto"/>
                <w:sz w:val="21"/>
                <w:highlight w:val="none"/>
                <w:lang w:val="en-US" w:eastAsia="zh-CN"/>
              </w:rPr>
              <w:t>11</w:t>
            </w:r>
            <w:r>
              <w:rPr>
                <w:rFonts w:hint="default" w:ascii="Times New Roman" w:hAnsi="Times New Roman" w:cs="Times New Roman"/>
                <w:color w:val="auto"/>
                <w:sz w:val="21"/>
                <w:highlight w:val="none"/>
              </w:rPr>
              <w:t>%</w:t>
            </w:r>
          </w:p>
        </w:tc>
        <w:tc>
          <w:tcPr>
            <w:tcW w:w="1361" w:type="dxa"/>
          </w:tcPr>
          <w:p>
            <w:pPr>
              <w:pStyle w:val="24"/>
              <w:spacing w:before="22"/>
              <w:ind w:right="346" w:firstLine="210" w:firstLineChars="10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2</w:t>
            </w:r>
            <w:r>
              <w:rPr>
                <w:rFonts w:hint="default" w:ascii="Times New Roman" w:hAnsi="Times New Roman" w:cs="Times New Roman"/>
                <w:color w:val="auto"/>
                <w:sz w:val="21"/>
                <w:highlight w:val="none"/>
                <w:lang w:val="en-US" w:eastAsia="zh-CN"/>
              </w:rPr>
              <w:t>9.47</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附属设施区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1.41</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1.34</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1.34</w:t>
            </w:r>
          </w:p>
        </w:tc>
        <w:tc>
          <w:tcPr>
            <w:tcW w:w="1371" w:type="dxa"/>
            <w:vAlign w:val="center"/>
          </w:tcPr>
          <w:p>
            <w:pPr>
              <w:pStyle w:val="24"/>
              <w:spacing w:before="22"/>
              <w:ind w:left="357"/>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100.00%</w:t>
            </w:r>
          </w:p>
        </w:tc>
        <w:tc>
          <w:tcPr>
            <w:tcW w:w="1361" w:type="dxa"/>
          </w:tcPr>
          <w:p>
            <w:pPr>
              <w:pStyle w:val="24"/>
              <w:spacing w:before="22"/>
              <w:ind w:right="346" w:firstLine="210" w:firstLineChars="100"/>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95.04%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弃渣回填区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1359"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0.81</w:t>
            </w:r>
          </w:p>
        </w:tc>
        <w:tc>
          <w:tcPr>
            <w:tcW w:w="1359"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0.81</w:t>
            </w:r>
          </w:p>
        </w:tc>
        <w:tc>
          <w:tcPr>
            <w:tcW w:w="1371" w:type="dxa"/>
            <w:vAlign w:val="center"/>
          </w:tcPr>
          <w:p>
            <w:pPr>
              <w:pStyle w:val="24"/>
              <w:spacing w:before="22"/>
              <w:ind w:left="357"/>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100.00%</w:t>
            </w:r>
          </w:p>
        </w:tc>
        <w:tc>
          <w:tcPr>
            <w:tcW w:w="1361" w:type="dxa"/>
          </w:tcPr>
          <w:p>
            <w:pPr>
              <w:pStyle w:val="24"/>
              <w:spacing w:before="22"/>
              <w:ind w:right="346" w:firstLine="210" w:firstLineChars="100"/>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96.42%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取土场区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2.00</w:t>
            </w:r>
          </w:p>
        </w:tc>
        <w:tc>
          <w:tcPr>
            <w:tcW w:w="1359"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1.93</w:t>
            </w:r>
          </w:p>
        </w:tc>
        <w:tc>
          <w:tcPr>
            <w:tcW w:w="1359"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1.93</w:t>
            </w:r>
          </w:p>
        </w:tc>
        <w:tc>
          <w:tcPr>
            <w:tcW w:w="1371" w:type="dxa"/>
            <w:vAlign w:val="center"/>
          </w:tcPr>
          <w:p>
            <w:pPr>
              <w:pStyle w:val="24"/>
              <w:spacing w:before="22"/>
              <w:ind w:left="357"/>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100.00%</w:t>
            </w:r>
          </w:p>
        </w:tc>
        <w:tc>
          <w:tcPr>
            <w:tcW w:w="1361" w:type="dxa"/>
          </w:tcPr>
          <w:p>
            <w:pPr>
              <w:pStyle w:val="24"/>
              <w:spacing w:before="22"/>
              <w:ind w:right="346" w:firstLine="210" w:firstLineChars="100"/>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96.5%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施工便道区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0.05</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0.05</w:t>
            </w:r>
          </w:p>
        </w:tc>
        <w:tc>
          <w:tcPr>
            <w:tcW w:w="1371" w:type="dxa"/>
          </w:tcPr>
          <w:p>
            <w:pPr>
              <w:pStyle w:val="24"/>
              <w:spacing w:before="21"/>
              <w:ind w:left="305"/>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100.00%</w:t>
            </w:r>
          </w:p>
        </w:tc>
        <w:tc>
          <w:tcPr>
            <w:tcW w:w="1361" w:type="dxa"/>
          </w:tcPr>
          <w:p>
            <w:pPr>
              <w:pStyle w:val="24"/>
              <w:spacing w:before="21"/>
              <w:ind w:right="346" w:firstLine="210" w:firstLineChars="10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施工生产生活区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0.20</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0.20</w:t>
            </w:r>
          </w:p>
        </w:tc>
        <w:tc>
          <w:tcPr>
            <w:tcW w:w="1371" w:type="dxa"/>
          </w:tcPr>
          <w:p>
            <w:pPr>
              <w:pStyle w:val="24"/>
              <w:spacing w:before="22"/>
              <w:ind w:left="306"/>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100.00%</w:t>
            </w:r>
          </w:p>
        </w:tc>
        <w:tc>
          <w:tcPr>
            <w:tcW w:w="1361" w:type="dxa"/>
          </w:tcPr>
          <w:p>
            <w:pPr>
              <w:pStyle w:val="24"/>
              <w:spacing w:before="22"/>
              <w:ind w:right="346" w:firstLine="210" w:firstLineChars="10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w:t>
            </w:r>
            <w:r>
              <w:rPr>
                <w:rFonts w:hint="default" w:ascii="Times New Roman" w:hAnsi="Times New Roman" w:cs="Times New Roman"/>
                <w:color w:val="auto"/>
                <w:sz w:val="21"/>
                <w:highlight w:val="none"/>
                <w:lang w:val="en-US" w:eastAsia="zh-CN"/>
              </w:rPr>
              <w:t>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临时堆放区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szCs w:val="21"/>
                <w:highlight w:val="none"/>
                <w:vertAlign w:val="baseline"/>
                <w:lang w:val="en-US" w:eastAsia="zh-CN"/>
              </w:rPr>
              <w:t>0.21</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0.21</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0.21</w:t>
            </w:r>
          </w:p>
        </w:tc>
        <w:tc>
          <w:tcPr>
            <w:tcW w:w="1371" w:type="dxa"/>
          </w:tcPr>
          <w:p>
            <w:pPr>
              <w:pStyle w:val="24"/>
              <w:spacing w:before="22"/>
              <w:ind w:left="306"/>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100.00%</w:t>
            </w:r>
          </w:p>
        </w:tc>
        <w:tc>
          <w:tcPr>
            <w:tcW w:w="1361" w:type="dxa"/>
          </w:tcPr>
          <w:p>
            <w:pPr>
              <w:pStyle w:val="24"/>
              <w:spacing w:before="22"/>
              <w:ind w:right="346" w:firstLine="210" w:firstLineChars="10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2482" w:type="dxa"/>
            <w:vAlign w:val="center"/>
          </w:tcPr>
          <w:p>
            <w:pPr>
              <w:pStyle w:val="24"/>
              <w:spacing w:before="8" w:line="261" w:lineRule="exact"/>
              <w:ind w:left="375" w:leftChars="0" w:right="367"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总计</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szCs w:val="21"/>
                <w:highlight w:val="none"/>
                <w:vertAlign w:val="baseline"/>
                <w:lang w:val="en-US" w:eastAsia="zh-CN"/>
              </w:rPr>
              <w:t>8.51</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5.13</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5.12</w:t>
            </w:r>
          </w:p>
        </w:tc>
        <w:tc>
          <w:tcPr>
            <w:tcW w:w="1371" w:type="dxa"/>
          </w:tcPr>
          <w:p>
            <w:pPr>
              <w:pStyle w:val="24"/>
              <w:spacing w:before="21"/>
              <w:ind w:left="358"/>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99.50%</w:t>
            </w:r>
          </w:p>
        </w:tc>
        <w:tc>
          <w:tcPr>
            <w:tcW w:w="1361" w:type="dxa"/>
          </w:tcPr>
          <w:p>
            <w:pPr>
              <w:pStyle w:val="24"/>
              <w:spacing w:before="21"/>
              <w:ind w:right="345" w:firstLine="210" w:firstLineChars="10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60.31</w:t>
            </w:r>
            <w:r>
              <w:rPr>
                <w:rFonts w:hint="default" w:ascii="Times New Roman" w:hAnsi="Times New Roman" w:cs="Times New Roman"/>
                <w:color w:val="auto"/>
                <w:sz w:val="21"/>
                <w:highlight w:val="none"/>
              </w:rPr>
              <w:t>%</w:t>
            </w:r>
          </w:p>
        </w:tc>
      </w:tr>
    </w:tbl>
    <w:p>
      <w:pPr>
        <w:pStyle w:val="2"/>
        <w:bidi w:val="0"/>
        <w:outlineLvl w:val="9"/>
        <w:rPr>
          <w:rFonts w:hint="default" w:ascii="Times New Roman" w:hAnsi="Times New Roman" w:cs="Times New Roman"/>
          <w:color w:val="auto"/>
          <w:highlight w:val="none"/>
          <w:lang w:val="en-US" w:eastAsia="zh-CN"/>
        </w:rPr>
        <w:sectPr>
          <w:headerReference r:id="rId22" w:type="default"/>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bookmarkStart w:id="337" w:name="_Toc19132"/>
      <w:bookmarkStart w:id="338" w:name="_Toc20362"/>
      <w:bookmarkStart w:id="339" w:name="_Toc3144"/>
    </w:p>
    <w:p>
      <w:pPr>
        <w:pStyle w:val="2"/>
        <w:bidi w:val="0"/>
        <w:rPr>
          <w:rFonts w:hint="default" w:ascii="Times New Roman" w:hAnsi="Times New Roman" w:cs="Times New Roman"/>
          <w:color w:val="auto"/>
          <w:highlight w:val="none"/>
          <w:lang w:val="en-US" w:eastAsia="zh-CN"/>
        </w:rPr>
      </w:pPr>
      <w:bookmarkStart w:id="340" w:name="_Toc28815"/>
      <w:r>
        <w:rPr>
          <w:rFonts w:hint="default" w:ascii="Times New Roman" w:hAnsi="Times New Roman" w:cs="Times New Roman"/>
          <w:color w:val="auto"/>
          <w:highlight w:val="none"/>
          <w:lang w:val="en-US" w:eastAsia="zh-CN"/>
        </w:rPr>
        <w:t>7 结论</w:t>
      </w:r>
      <w:bookmarkEnd w:id="337"/>
      <w:bookmarkEnd w:id="338"/>
      <w:bookmarkEnd w:id="339"/>
      <w:bookmarkEnd w:id="340"/>
    </w:p>
    <w:p>
      <w:pPr>
        <w:pStyle w:val="3"/>
        <w:bidi w:val="0"/>
        <w:rPr>
          <w:rFonts w:hint="default" w:ascii="Times New Roman" w:hAnsi="Times New Roman" w:cs="Times New Roman"/>
          <w:color w:val="auto"/>
          <w:highlight w:val="none"/>
          <w:lang w:val="en-US" w:eastAsia="zh-CN"/>
        </w:rPr>
      </w:pPr>
      <w:bookmarkStart w:id="341" w:name="_Toc29132"/>
      <w:bookmarkStart w:id="342" w:name="_Toc31693"/>
      <w:bookmarkStart w:id="343" w:name="_Toc25574"/>
      <w:bookmarkStart w:id="344" w:name="_Toc27871"/>
      <w:r>
        <w:rPr>
          <w:rFonts w:hint="default" w:ascii="Times New Roman" w:hAnsi="Times New Roman" w:cs="Times New Roman"/>
          <w:color w:val="auto"/>
          <w:highlight w:val="none"/>
          <w:lang w:val="en-US" w:eastAsia="zh-CN"/>
        </w:rPr>
        <w:t>7.1 水土流失动态变化</w:t>
      </w:r>
      <w:bookmarkEnd w:id="341"/>
      <w:bookmarkEnd w:id="342"/>
      <w:bookmarkEnd w:id="343"/>
      <w:bookmarkEnd w:id="344"/>
    </w:p>
    <w:p>
      <w:pPr>
        <w:pStyle w:val="8"/>
        <w:keepNext w:val="0"/>
        <w:keepLines w:val="0"/>
        <w:pageBreakBefore w:val="0"/>
        <w:widowControl w:val="0"/>
        <w:kinsoku/>
        <w:wordWrap/>
        <w:overflowPunct/>
        <w:topLinePunct w:val="0"/>
        <w:autoSpaceDE/>
        <w:autoSpaceDN/>
        <w:bidi w:val="0"/>
        <w:adjustRightInd/>
        <w:snapToGrid/>
        <w:spacing w:before="262" w:line="360" w:lineRule="auto"/>
        <w:ind w:right="827"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根据监测成果，本工程扰动地表面积 </w:t>
      </w:r>
      <w:r>
        <w:rPr>
          <w:rFonts w:hint="default" w:ascii="Times New Roman" w:hAnsi="Times New Roman" w:cs="Times New Roman"/>
          <w:color w:val="auto"/>
          <w:highlight w:val="none"/>
          <w:lang w:val="en-US" w:eastAsia="zh-CN"/>
        </w:rPr>
        <w:t>8.51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highlight w:val="none"/>
        </w:rPr>
        <w:t>，建设过程中新增水土流失总量为</w:t>
      </w:r>
      <w:r>
        <w:rPr>
          <w:rFonts w:hint="default" w:ascii="Times New Roman" w:hAnsi="Times New Roman" w:eastAsia="Times New Roman" w:cs="Times New Roman"/>
          <w:color w:val="auto"/>
          <w:highlight w:val="none"/>
        </w:rPr>
        <w:t>4</w:t>
      </w:r>
      <w:r>
        <w:rPr>
          <w:rFonts w:hint="eastAsia" w:ascii="Times New Roman" w:hAnsi="Times New Roman" w:eastAsia="宋体" w:cs="Times New Roman"/>
          <w:color w:val="auto"/>
          <w:highlight w:val="none"/>
          <w:lang w:val="en-US" w:eastAsia="zh-CN"/>
        </w:rPr>
        <w:t>36</w:t>
      </w:r>
      <w:r>
        <w:rPr>
          <w:rFonts w:hint="default" w:ascii="Times New Roman" w:hAnsi="Times New Roman" w:eastAsia="Times New Roman" w:cs="Times New Roman"/>
          <w:color w:val="auto"/>
          <w:highlight w:val="none"/>
        </w:rPr>
        <w:t>t</w:t>
      </w:r>
      <w:r>
        <w:rPr>
          <w:rFonts w:hint="default" w:ascii="Times New Roman" w:hAnsi="Times New Roman" w:cs="Times New Roman"/>
          <w:color w:val="auto"/>
          <w:highlight w:val="none"/>
        </w:rPr>
        <w:t xml:space="preserve">，施工期 </w:t>
      </w:r>
      <w:r>
        <w:rPr>
          <w:rFonts w:hint="default" w:ascii="Times New Roman" w:hAnsi="Times New Roman" w:eastAsia="Times New Roman" w:cs="Times New Roman"/>
          <w:color w:val="auto"/>
          <w:highlight w:val="none"/>
        </w:rPr>
        <w:t>546t</w:t>
      </w:r>
      <w:r>
        <w:rPr>
          <w:rFonts w:hint="default" w:ascii="Times New Roman" w:hAnsi="Times New Roman" w:cs="Times New Roman"/>
          <w:color w:val="auto"/>
          <w:highlight w:val="none"/>
        </w:rPr>
        <w:t>。</w:t>
      </w:r>
    </w:p>
    <w:p>
      <w:pPr>
        <w:pStyle w:val="8"/>
        <w:keepNext w:val="0"/>
        <w:keepLines w:val="0"/>
        <w:pageBreakBefore w:val="0"/>
        <w:widowControl w:val="0"/>
        <w:kinsoku/>
        <w:wordWrap/>
        <w:overflowPunct/>
        <w:topLinePunct w:val="0"/>
        <w:autoSpaceDE/>
        <w:autoSpaceDN/>
        <w:bidi w:val="0"/>
        <w:adjustRightInd/>
        <w:snapToGrid/>
        <w:spacing w:line="360" w:lineRule="auto"/>
        <w:ind w:right="713" w:firstLine="424"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14"/>
          <w:highlight w:val="none"/>
        </w:rPr>
        <w:t xml:space="preserve">施工期内，水土保持工程措施基本与主体工程基本同时进行，但植物措施略有滞后， </w:t>
      </w:r>
      <w:r>
        <w:rPr>
          <w:rFonts w:hint="default" w:ascii="Times New Roman" w:hAnsi="Times New Roman" w:cs="Times New Roman"/>
          <w:color w:val="auto"/>
          <w:spacing w:val="-3"/>
          <w:highlight w:val="none"/>
        </w:rPr>
        <w:t>各项水土保持措施至施工期末才开始发挥效益，施工期内水土流失量较大，土壤流失控</w:t>
      </w:r>
      <w:r>
        <w:rPr>
          <w:rFonts w:hint="default" w:ascii="Times New Roman" w:hAnsi="Times New Roman" w:cs="Times New Roman"/>
          <w:color w:val="auto"/>
          <w:spacing w:val="-8"/>
          <w:highlight w:val="none"/>
        </w:rPr>
        <w:t>制比还未达到目标值，至植被恢复期，各项指标达到或超过本工程设置的水土流失防治标准，水土流失基本得到控制，有效地保护和改善项目区的生态环境。</w:t>
      </w:r>
    </w:p>
    <w:p>
      <w:pPr>
        <w:pStyle w:val="8"/>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本工程水土流失防治目标达标情况见表 </w:t>
      </w:r>
      <w:r>
        <w:rPr>
          <w:rFonts w:hint="default" w:ascii="Times New Roman" w:hAnsi="Times New Roman" w:eastAsia="Times New Roman" w:cs="Times New Roman"/>
          <w:color w:val="auto"/>
          <w:highlight w:val="none"/>
        </w:rPr>
        <w:t>7.1-1</w:t>
      </w:r>
      <w:r>
        <w:rPr>
          <w:rFonts w:hint="default" w:ascii="Times New Roman" w:hAnsi="Times New Roman" w:cs="Times New Roman"/>
          <w:color w:val="auto"/>
          <w:highlight w:val="none"/>
        </w:rPr>
        <w:t>。</w:t>
      </w:r>
    </w:p>
    <w:p>
      <w:pPr>
        <w:pStyle w:val="8"/>
        <w:spacing w:before="5"/>
        <w:rPr>
          <w:rFonts w:hint="default" w:ascii="Times New Roman" w:hAnsi="Times New Roman" w:cs="Times New Roman"/>
          <w:color w:val="auto"/>
          <w:sz w:val="22"/>
          <w:highlight w:val="none"/>
        </w:rPr>
      </w:pPr>
    </w:p>
    <w:p>
      <w:pPr>
        <w:pStyle w:val="8"/>
        <w:tabs>
          <w:tab w:val="left" w:pos="3373"/>
        </w:tabs>
        <w:spacing w:after="24"/>
        <w:ind w:firstLine="960" w:firstLineChars="400"/>
        <w:rPr>
          <w:rFonts w:hint="default" w:ascii="Times New Roman" w:hAnsi="Times New Roman" w:cs="Times New Roman"/>
          <w:color w:val="auto"/>
          <w:highlight w:val="none"/>
        </w:rPr>
      </w:pPr>
      <w:r>
        <w:rPr>
          <w:rFonts w:hint="default" w:ascii="Times New Roman" w:hAnsi="Times New Roman" w:cs="Times New Roman"/>
          <w:color w:val="auto"/>
          <w:highlight w:val="none"/>
        </w:rPr>
        <w:t>表</w:t>
      </w:r>
      <w:r>
        <w:rPr>
          <w:rFonts w:hint="default" w:ascii="Times New Roman" w:hAnsi="Times New Roman" w:cs="Times New Roman"/>
          <w:color w:val="auto"/>
          <w:spacing w:val="-60"/>
          <w:highlight w:val="none"/>
        </w:rPr>
        <w:t xml:space="preserve"> </w:t>
      </w:r>
      <w:r>
        <w:rPr>
          <w:rFonts w:hint="default" w:ascii="Times New Roman" w:hAnsi="Times New Roman" w:eastAsia="Times New Roman" w:cs="Times New Roman"/>
          <w:color w:val="auto"/>
          <w:highlight w:val="none"/>
        </w:rPr>
        <w:t>7.1-1</w:t>
      </w:r>
      <w:r>
        <w:rPr>
          <w:rFonts w:hint="default" w:ascii="Times New Roman" w:hAnsi="Times New Roman" w:eastAsia="宋体" w:cs="Times New Roman"/>
          <w:color w:val="auto"/>
          <w:highlight w:val="none"/>
          <w:lang w:val="en-US" w:eastAsia="zh-CN"/>
        </w:rPr>
        <w:t xml:space="preserve">    </w:t>
      </w:r>
      <w:r>
        <w:rPr>
          <w:rFonts w:hint="default" w:ascii="Times New Roman" w:hAnsi="Times New Roman" w:cs="Times New Roman"/>
          <w:color w:val="auto"/>
          <w:highlight w:val="none"/>
        </w:rPr>
        <w:t>本工程水土流失防治目标达标情况表</w:t>
      </w: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1"/>
        <w:gridCol w:w="2552"/>
        <w:gridCol w:w="907"/>
        <w:gridCol w:w="1613"/>
        <w:gridCol w:w="1612"/>
        <w:gridCol w:w="161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91" w:type="dxa"/>
            <w:vMerge w:val="restart"/>
          </w:tcPr>
          <w:p>
            <w:pPr>
              <w:pStyle w:val="24"/>
              <w:spacing w:before="8"/>
              <w:jc w:val="left"/>
              <w:rPr>
                <w:rFonts w:hint="default" w:ascii="Times New Roman" w:hAnsi="Times New Roman" w:cs="Times New Roman"/>
                <w:color w:val="auto"/>
                <w:sz w:val="28"/>
                <w:highlight w:val="none"/>
              </w:rPr>
            </w:pPr>
          </w:p>
          <w:p>
            <w:pPr>
              <w:pStyle w:val="24"/>
              <w:ind w:left="255"/>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序号</w:t>
            </w:r>
          </w:p>
        </w:tc>
        <w:tc>
          <w:tcPr>
            <w:tcW w:w="2552" w:type="dxa"/>
            <w:vMerge w:val="restart"/>
          </w:tcPr>
          <w:p>
            <w:pPr>
              <w:pStyle w:val="24"/>
              <w:spacing w:before="8"/>
              <w:jc w:val="left"/>
              <w:rPr>
                <w:rFonts w:hint="default" w:ascii="Times New Roman" w:hAnsi="Times New Roman" w:cs="Times New Roman"/>
                <w:color w:val="auto"/>
                <w:sz w:val="28"/>
                <w:highlight w:val="none"/>
              </w:rPr>
            </w:pPr>
          </w:p>
          <w:p>
            <w:pPr>
              <w:pStyle w:val="24"/>
              <w:ind w:left="294" w:right="288"/>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指标</w:t>
            </w:r>
          </w:p>
        </w:tc>
        <w:tc>
          <w:tcPr>
            <w:tcW w:w="907" w:type="dxa"/>
            <w:vMerge w:val="restart"/>
          </w:tcPr>
          <w:p>
            <w:pPr>
              <w:pStyle w:val="24"/>
              <w:spacing w:before="8"/>
              <w:jc w:val="left"/>
              <w:rPr>
                <w:rFonts w:hint="default" w:ascii="Times New Roman" w:hAnsi="Times New Roman" w:cs="Times New Roman"/>
                <w:color w:val="auto"/>
                <w:sz w:val="28"/>
                <w:highlight w:val="none"/>
              </w:rPr>
            </w:pPr>
          </w:p>
          <w:p>
            <w:pPr>
              <w:pStyle w:val="24"/>
              <w:ind w:left="212"/>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单位</w:t>
            </w:r>
          </w:p>
        </w:tc>
        <w:tc>
          <w:tcPr>
            <w:tcW w:w="4837" w:type="dxa"/>
            <w:gridSpan w:val="3"/>
          </w:tcPr>
          <w:p>
            <w:pPr>
              <w:pStyle w:val="24"/>
              <w:spacing w:before="2"/>
              <w:ind w:left="1458"/>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水土流失防治标准</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19" w:hRule="atLeast"/>
          <w:jc w:val="center"/>
        </w:trPr>
        <w:tc>
          <w:tcPr>
            <w:tcW w:w="991" w:type="dxa"/>
            <w:vMerge w:val="continue"/>
            <w:tcBorders>
              <w:top w:val="nil"/>
            </w:tcBorders>
          </w:tcPr>
          <w:p>
            <w:pPr>
              <w:rPr>
                <w:rFonts w:hint="default" w:ascii="Times New Roman" w:hAnsi="Times New Roman" w:cs="Times New Roman"/>
                <w:color w:val="auto"/>
                <w:sz w:val="2"/>
                <w:szCs w:val="2"/>
                <w:highlight w:val="none"/>
              </w:rPr>
            </w:pPr>
          </w:p>
        </w:tc>
        <w:tc>
          <w:tcPr>
            <w:tcW w:w="2552" w:type="dxa"/>
            <w:vMerge w:val="continue"/>
            <w:tcBorders>
              <w:top w:val="nil"/>
            </w:tcBorders>
          </w:tcPr>
          <w:p>
            <w:pPr>
              <w:rPr>
                <w:rFonts w:hint="default" w:ascii="Times New Roman" w:hAnsi="Times New Roman" w:cs="Times New Roman"/>
                <w:color w:val="auto"/>
                <w:sz w:val="2"/>
                <w:szCs w:val="2"/>
                <w:highlight w:val="none"/>
              </w:rPr>
            </w:pPr>
          </w:p>
        </w:tc>
        <w:tc>
          <w:tcPr>
            <w:tcW w:w="907" w:type="dxa"/>
            <w:vMerge w:val="continue"/>
            <w:tcBorders>
              <w:top w:val="nil"/>
            </w:tcBorders>
          </w:tcPr>
          <w:p>
            <w:pPr>
              <w:rPr>
                <w:rFonts w:hint="default" w:ascii="Times New Roman" w:hAnsi="Times New Roman" w:cs="Times New Roman"/>
                <w:color w:val="auto"/>
                <w:sz w:val="2"/>
                <w:szCs w:val="2"/>
                <w:highlight w:val="none"/>
              </w:rPr>
            </w:pPr>
          </w:p>
        </w:tc>
        <w:tc>
          <w:tcPr>
            <w:tcW w:w="1613" w:type="dxa"/>
          </w:tcPr>
          <w:p>
            <w:pPr>
              <w:pStyle w:val="24"/>
              <w:spacing w:before="4" w:line="187" w:lineRule="auto"/>
              <w:ind w:left="205" w:right="195"/>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方案报告书确定的防治</w:t>
            </w:r>
          </w:p>
          <w:p>
            <w:pPr>
              <w:pStyle w:val="24"/>
              <w:spacing w:line="215" w:lineRule="exact"/>
              <w:ind w:left="203" w:right="195"/>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标准</w:t>
            </w:r>
          </w:p>
        </w:tc>
        <w:tc>
          <w:tcPr>
            <w:tcW w:w="1612" w:type="dxa"/>
          </w:tcPr>
          <w:p>
            <w:pPr>
              <w:pStyle w:val="24"/>
              <w:spacing w:before="124" w:line="187" w:lineRule="auto"/>
              <w:ind w:left="324" w:right="195" w:hanging="120"/>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本工程实际防治标准</w:t>
            </w:r>
          </w:p>
        </w:tc>
        <w:tc>
          <w:tcPr>
            <w:tcW w:w="1612" w:type="dxa"/>
          </w:tcPr>
          <w:p>
            <w:pPr>
              <w:pStyle w:val="24"/>
              <w:spacing w:before="124" w:line="187" w:lineRule="auto"/>
              <w:ind w:left="563" w:right="557"/>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达标情况</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91" w:type="dxa"/>
          </w:tcPr>
          <w:p>
            <w:pPr>
              <w:pStyle w:val="24"/>
              <w:spacing w:before="18"/>
              <w:ind w:left="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w:t>
            </w:r>
          </w:p>
        </w:tc>
        <w:tc>
          <w:tcPr>
            <w:tcW w:w="2552" w:type="dxa"/>
          </w:tcPr>
          <w:p>
            <w:pPr>
              <w:pStyle w:val="24"/>
              <w:spacing w:before="2"/>
              <w:ind w:left="294" w:right="288"/>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扰动土地整治率</w:t>
            </w:r>
          </w:p>
        </w:tc>
        <w:tc>
          <w:tcPr>
            <w:tcW w:w="907" w:type="dxa"/>
          </w:tcPr>
          <w:p>
            <w:pPr>
              <w:pStyle w:val="24"/>
              <w:spacing w:before="18"/>
              <w:ind w:left="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p>
        </w:tc>
        <w:tc>
          <w:tcPr>
            <w:tcW w:w="1613" w:type="dxa"/>
          </w:tcPr>
          <w:p>
            <w:pPr>
              <w:pStyle w:val="24"/>
              <w:spacing w:before="18"/>
              <w:ind w:left="685"/>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95</w:t>
            </w:r>
          </w:p>
        </w:tc>
        <w:tc>
          <w:tcPr>
            <w:tcW w:w="1612" w:type="dxa"/>
          </w:tcPr>
          <w:p>
            <w:pPr>
              <w:pStyle w:val="24"/>
              <w:spacing w:before="18"/>
              <w:ind w:left="415" w:right="407"/>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9</w:t>
            </w:r>
            <w:r>
              <w:rPr>
                <w:rFonts w:hint="default" w:ascii="Times New Roman" w:hAnsi="Times New Roman" w:cs="Times New Roman"/>
                <w:color w:val="auto"/>
                <w:sz w:val="24"/>
                <w:highlight w:val="none"/>
                <w:lang w:val="en-US" w:eastAsia="zh-CN"/>
              </w:rPr>
              <w:t>9.25</w:t>
            </w:r>
            <w:r>
              <w:rPr>
                <w:rFonts w:hint="default" w:ascii="Times New Roman" w:hAnsi="Times New Roman" w:cs="Times New Roman"/>
                <w:color w:val="auto"/>
                <w:sz w:val="24"/>
                <w:highlight w:val="none"/>
              </w:rPr>
              <w:t>%</w:t>
            </w:r>
          </w:p>
        </w:tc>
        <w:tc>
          <w:tcPr>
            <w:tcW w:w="1612" w:type="dxa"/>
          </w:tcPr>
          <w:p>
            <w:pPr>
              <w:pStyle w:val="24"/>
              <w:spacing w:before="2"/>
              <w:ind w:left="413" w:right="407"/>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991" w:type="dxa"/>
          </w:tcPr>
          <w:p>
            <w:pPr>
              <w:pStyle w:val="24"/>
              <w:spacing w:before="18"/>
              <w:ind w:left="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w:t>
            </w:r>
          </w:p>
        </w:tc>
        <w:tc>
          <w:tcPr>
            <w:tcW w:w="2552" w:type="dxa"/>
          </w:tcPr>
          <w:p>
            <w:pPr>
              <w:pStyle w:val="24"/>
              <w:spacing w:before="2"/>
              <w:ind w:left="294" w:right="288"/>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水土流失总治理度</w:t>
            </w:r>
          </w:p>
        </w:tc>
        <w:tc>
          <w:tcPr>
            <w:tcW w:w="907" w:type="dxa"/>
          </w:tcPr>
          <w:p>
            <w:pPr>
              <w:pStyle w:val="24"/>
              <w:spacing w:before="18"/>
              <w:ind w:left="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p>
        </w:tc>
        <w:tc>
          <w:tcPr>
            <w:tcW w:w="1613" w:type="dxa"/>
          </w:tcPr>
          <w:p>
            <w:pPr>
              <w:pStyle w:val="24"/>
              <w:spacing w:before="18"/>
              <w:ind w:left="685"/>
              <w:jc w:val="left"/>
              <w:rPr>
                <w:rFonts w:hint="default" w:ascii="Times New Roman" w:hAnsi="Times New Roman" w:eastAsia="仿宋" w:cs="Times New Roman"/>
                <w:color w:val="auto"/>
                <w:sz w:val="24"/>
                <w:highlight w:val="none"/>
                <w:lang w:val="en-US" w:eastAsia="zh-CN"/>
              </w:rPr>
            </w:pPr>
            <w:r>
              <w:rPr>
                <w:rFonts w:hint="default" w:ascii="Times New Roman" w:hAnsi="Times New Roman" w:cs="Times New Roman"/>
                <w:color w:val="auto"/>
                <w:sz w:val="24"/>
                <w:highlight w:val="none"/>
              </w:rPr>
              <w:t>9</w:t>
            </w:r>
            <w:r>
              <w:rPr>
                <w:rFonts w:hint="default" w:ascii="Times New Roman" w:hAnsi="Times New Roman" w:cs="Times New Roman"/>
                <w:color w:val="auto"/>
                <w:sz w:val="24"/>
                <w:highlight w:val="none"/>
                <w:lang w:val="en-US" w:eastAsia="zh-CN"/>
              </w:rPr>
              <w:t>7</w:t>
            </w:r>
          </w:p>
        </w:tc>
        <w:tc>
          <w:tcPr>
            <w:tcW w:w="1612" w:type="dxa"/>
          </w:tcPr>
          <w:p>
            <w:pPr>
              <w:pStyle w:val="24"/>
              <w:spacing w:before="18"/>
              <w:ind w:left="415" w:right="407"/>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9</w:t>
            </w:r>
            <w:r>
              <w:rPr>
                <w:rFonts w:hint="default" w:ascii="Times New Roman" w:hAnsi="Times New Roman" w:cs="Times New Roman"/>
                <w:color w:val="auto"/>
                <w:sz w:val="24"/>
                <w:highlight w:val="none"/>
                <w:lang w:val="en-US" w:eastAsia="zh-CN"/>
              </w:rPr>
              <w:t>8.79</w:t>
            </w:r>
            <w:r>
              <w:rPr>
                <w:rFonts w:hint="default" w:ascii="Times New Roman" w:hAnsi="Times New Roman" w:cs="Times New Roman"/>
                <w:color w:val="auto"/>
                <w:sz w:val="24"/>
                <w:highlight w:val="none"/>
              </w:rPr>
              <w:t>%</w:t>
            </w:r>
          </w:p>
        </w:tc>
        <w:tc>
          <w:tcPr>
            <w:tcW w:w="1612" w:type="dxa"/>
          </w:tcPr>
          <w:p>
            <w:pPr>
              <w:pStyle w:val="24"/>
              <w:spacing w:before="2"/>
              <w:ind w:left="413" w:right="407"/>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91" w:type="dxa"/>
          </w:tcPr>
          <w:p>
            <w:pPr>
              <w:pStyle w:val="24"/>
              <w:spacing w:before="18"/>
              <w:ind w:left="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3</w:t>
            </w:r>
          </w:p>
        </w:tc>
        <w:tc>
          <w:tcPr>
            <w:tcW w:w="2552" w:type="dxa"/>
          </w:tcPr>
          <w:p>
            <w:pPr>
              <w:pStyle w:val="24"/>
              <w:spacing w:before="2"/>
              <w:ind w:left="294" w:right="288"/>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土壤流失控制比</w:t>
            </w:r>
          </w:p>
        </w:tc>
        <w:tc>
          <w:tcPr>
            <w:tcW w:w="907" w:type="dxa"/>
          </w:tcPr>
          <w:p>
            <w:pPr>
              <w:pStyle w:val="24"/>
              <w:spacing w:before="18"/>
              <w:ind w:left="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p>
        </w:tc>
        <w:tc>
          <w:tcPr>
            <w:tcW w:w="1613" w:type="dxa"/>
          </w:tcPr>
          <w:p>
            <w:pPr>
              <w:pStyle w:val="24"/>
              <w:spacing w:before="18"/>
              <w:ind w:left="745"/>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w:t>
            </w:r>
          </w:p>
        </w:tc>
        <w:tc>
          <w:tcPr>
            <w:tcW w:w="1612" w:type="dxa"/>
          </w:tcPr>
          <w:p>
            <w:pPr>
              <w:pStyle w:val="24"/>
              <w:spacing w:before="18"/>
              <w:ind w:left="6"/>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1</w:t>
            </w:r>
          </w:p>
        </w:tc>
        <w:tc>
          <w:tcPr>
            <w:tcW w:w="1612" w:type="dxa"/>
          </w:tcPr>
          <w:p>
            <w:pPr>
              <w:pStyle w:val="24"/>
              <w:spacing w:before="2"/>
              <w:ind w:left="413" w:right="407"/>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91" w:type="dxa"/>
          </w:tcPr>
          <w:p>
            <w:pPr>
              <w:pStyle w:val="24"/>
              <w:spacing w:before="18"/>
              <w:ind w:left="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4</w:t>
            </w:r>
          </w:p>
        </w:tc>
        <w:tc>
          <w:tcPr>
            <w:tcW w:w="2552" w:type="dxa"/>
          </w:tcPr>
          <w:p>
            <w:pPr>
              <w:pStyle w:val="24"/>
              <w:spacing w:before="2"/>
              <w:ind w:left="294" w:right="288"/>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拦渣率</w:t>
            </w:r>
          </w:p>
        </w:tc>
        <w:tc>
          <w:tcPr>
            <w:tcW w:w="907" w:type="dxa"/>
          </w:tcPr>
          <w:p>
            <w:pPr>
              <w:pStyle w:val="24"/>
              <w:spacing w:before="18"/>
              <w:ind w:left="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p>
        </w:tc>
        <w:tc>
          <w:tcPr>
            <w:tcW w:w="1613" w:type="dxa"/>
          </w:tcPr>
          <w:p>
            <w:pPr>
              <w:pStyle w:val="24"/>
              <w:spacing w:before="18"/>
              <w:ind w:left="685"/>
              <w:jc w:val="left"/>
              <w:rPr>
                <w:rFonts w:hint="default" w:ascii="Times New Roman" w:hAnsi="Times New Roman" w:eastAsia="仿宋" w:cs="Times New Roman"/>
                <w:color w:val="auto"/>
                <w:sz w:val="24"/>
                <w:highlight w:val="none"/>
                <w:lang w:val="en-US" w:eastAsia="zh-CN"/>
              </w:rPr>
            </w:pPr>
            <w:r>
              <w:rPr>
                <w:rFonts w:hint="default" w:ascii="Times New Roman" w:hAnsi="Times New Roman" w:cs="Times New Roman"/>
                <w:color w:val="auto"/>
                <w:sz w:val="24"/>
                <w:highlight w:val="none"/>
              </w:rPr>
              <w:t>9</w:t>
            </w:r>
            <w:r>
              <w:rPr>
                <w:rFonts w:hint="default" w:ascii="Times New Roman" w:hAnsi="Times New Roman" w:cs="Times New Roman"/>
                <w:color w:val="auto"/>
                <w:sz w:val="24"/>
                <w:highlight w:val="none"/>
                <w:lang w:val="en-US" w:eastAsia="zh-CN"/>
              </w:rPr>
              <w:t>5</w:t>
            </w:r>
          </w:p>
        </w:tc>
        <w:tc>
          <w:tcPr>
            <w:tcW w:w="1612" w:type="dxa"/>
          </w:tcPr>
          <w:p>
            <w:pPr>
              <w:pStyle w:val="24"/>
              <w:spacing w:before="18"/>
              <w:ind w:left="415" w:right="407"/>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9</w:t>
            </w:r>
            <w:r>
              <w:rPr>
                <w:rFonts w:hint="default" w:ascii="Times New Roman" w:hAnsi="Times New Roman" w:cs="Times New Roman"/>
                <w:color w:val="auto"/>
                <w:sz w:val="24"/>
                <w:highlight w:val="none"/>
                <w:lang w:val="en-US" w:eastAsia="zh-CN"/>
              </w:rPr>
              <w:t>5</w:t>
            </w:r>
            <w:r>
              <w:rPr>
                <w:rFonts w:hint="default" w:ascii="Times New Roman" w:hAnsi="Times New Roman" w:cs="Times New Roman"/>
                <w:color w:val="auto"/>
                <w:sz w:val="24"/>
                <w:highlight w:val="none"/>
              </w:rPr>
              <w:t>%</w:t>
            </w:r>
          </w:p>
        </w:tc>
        <w:tc>
          <w:tcPr>
            <w:tcW w:w="1612" w:type="dxa"/>
          </w:tcPr>
          <w:p>
            <w:pPr>
              <w:pStyle w:val="24"/>
              <w:spacing w:before="2"/>
              <w:ind w:left="413" w:right="407"/>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9" w:hRule="atLeast"/>
          <w:jc w:val="center"/>
        </w:trPr>
        <w:tc>
          <w:tcPr>
            <w:tcW w:w="991" w:type="dxa"/>
          </w:tcPr>
          <w:p>
            <w:pPr>
              <w:pStyle w:val="24"/>
              <w:spacing w:before="18"/>
              <w:ind w:left="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5</w:t>
            </w:r>
          </w:p>
        </w:tc>
        <w:tc>
          <w:tcPr>
            <w:tcW w:w="2552" w:type="dxa"/>
          </w:tcPr>
          <w:p>
            <w:pPr>
              <w:pStyle w:val="24"/>
              <w:spacing w:before="2"/>
              <w:ind w:left="294" w:right="288"/>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林草植被恢复率</w:t>
            </w:r>
          </w:p>
        </w:tc>
        <w:tc>
          <w:tcPr>
            <w:tcW w:w="907" w:type="dxa"/>
          </w:tcPr>
          <w:p>
            <w:pPr>
              <w:pStyle w:val="24"/>
              <w:spacing w:before="18"/>
              <w:ind w:left="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p>
        </w:tc>
        <w:tc>
          <w:tcPr>
            <w:tcW w:w="1613" w:type="dxa"/>
          </w:tcPr>
          <w:p>
            <w:pPr>
              <w:pStyle w:val="24"/>
              <w:spacing w:before="18"/>
              <w:ind w:left="685"/>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99</w:t>
            </w:r>
          </w:p>
        </w:tc>
        <w:tc>
          <w:tcPr>
            <w:tcW w:w="1612" w:type="dxa"/>
          </w:tcPr>
          <w:p>
            <w:pPr>
              <w:pStyle w:val="24"/>
              <w:spacing w:before="18"/>
              <w:ind w:left="415" w:right="407"/>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99.</w:t>
            </w:r>
            <w:r>
              <w:rPr>
                <w:rFonts w:hint="default" w:ascii="Times New Roman" w:hAnsi="Times New Roman" w:cs="Times New Roman"/>
                <w:color w:val="auto"/>
                <w:sz w:val="24"/>
                <w:highlight w:val="none"/>
                <w:lang w:val="en-US" w:eastAsia="zh-CN"/>
              </w:rPr>
              <w:t>01</w:t>
            </w:r>
            <w:r>
              <w:rPr>
                <w:rFonts w:hint="default" w:ascii="Times New Roman" w:hAnsi="Times New Roman" w:cs="Times New Roman"/>
                <w:color w:val="auto"/>
                <w:sz w:val="24"/>
                <w:highlight w:val="none"/>
              </w:rPr>
              <w:t>%</w:t>
            </w:r>
          </w:p>
        </w:tc>
        <w:tc>
          <w:tcPr>
            <w:tcW w:w="1612" w:type="dxa"/>
          </w:tcPr>
          <w:p>
            <w:pPr>
              <w:pStyle w:val="24"/>
              <w:spacing w:before="2"/>
              <w:ind w:left="413" w:right="407"/>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达标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40" w:hRule="atLeast"/>
          <w:jc w:val="center"/>
        </w:trPr>
        <w:tc>
          <w:tcPr>
            <w:tcW w:w="991" w:type="dxa"/>
          </w:tcPr>
          <w:p>
            <w:pPr>
              <w:pStyle w:val="24"/>
              <w:spacing w:before="18"/>
              <w:ind w:left="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6</w:t>
            </w:r>
          </w:p>
        </w:tc>
        <w:tc>
          <w:tcPr>
            <w:tcW w:w="2552" w:type="dxa"/>
          </w:tcPr>
          <w:p>
            <w:pPr>
              <w:pStyle w:val="24"/>
              <w:spacing w:before="2"/>
              <w:ind w:left="294" w:right="288"/>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林草覆盖率</w:t>
            </w:r>
          </w:p>
        </w:tc>
        <w:tc>
          <w:tcPr>
            <w:tcW w:w="907" w:type="dxa"/>
          </w:tcPr>
          <w:p>
            <w:pPr>
              <w:pStyle w:val="24"/>
              <w:spacing w:before="18"/>
              <w:ind w:left="9"/>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w:t>
            </w:r>
          </w:p>
        </w:tc>
        <w:tc>
          <w:tcPr>
            <w:tcW w:w="1613" w:type="dxa"/>
          </w:tcPr>
          <w:p>
            <w:pPr>
              <w:pStyle w:val="24"/>
              <w:spacing w:before="18"/>
              <w:ind w:left="685"/>
              <w:jc w:val="left"/>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27</w:t>
            </w:r>
          </w:p>
        </w:tc>
        <w:tc>
          <w:tcPr>
            <w:tcW w:w="1612" w:type="dxa"/>
          </w:tcPr>
          <w:p>
            <w:pPr>
              <w:pStyle w:val="24"/>
              <w:spacing w:before="18"/>
              <w:ind w:left="415" w:right="407"/>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lang w:val="en-US" w:eastAsia="zh-CN"/>
              </w:rPr>
              <w:t>60.31</w:t>
            </w:r>
            <w:r>
              <w:rPr>
                <w:rFonts w:hint="default" w:ascii="Times New Roman" w:hAnsi="Times New Roman" w:cs="Times New Roman"/>
                <w:color w:val="auto"/>
                <w:sz w:val="24"/>
                <w:highlight w:val="none"/>
              </w:rPr>
              <w:t>%</w:t>
            </w:r>
          </w:p>
        </w:tc>
        <w:tc>
          <w:tcPr>
            <w:tcW w:w="1612" w:type="dxa"/>
          </w:tcPr>
          <w:p>
            <w:pPr>
              <w:pStyle w:val="24"/>
              <w:spacing w:before="2"/>
              <w:ind w:left="413" w:right="407"/>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达标</w:t>
            </w:r>
          </w:p>
        </w:tc>
      </w:tr>
    </w:tbl>
    <w:p>
      <w:pPr>
        <w:pStyle w:val="3"/>
        <w:bidi w:val="0"/>
        <w:rPr>
          <w:rFonts w:hint="default" w:ascii="Times New Roman" w:hAnsi="Times New Roman" w:cs="Times New Roman"/>
          <w:color w:val="auto"/>
          <w:highlight w:val="none"/>
          <w:lang w:val="en-US" w:eastAsia="zh-CN"/>
        </w:rPr>
      </w:pPr>
      <w:bookmarkStart w:id="345" w:name="_Toc28926"/>
      <w:bookmarkStart w:id="346" w:name="_Toc25108"/>
      <w:bookmarkStart w:id="347" w:name="_Toc3095"/>
      <w:bookmarkStart w:id="348" w:name="_Toc6906"/>
      <w:r>
        <w:rPr>
          <w:rFonts w:hint="default" w:ascii="Times New Roman" w:hAnsi="Times New Roman" w:cs="Times New Roman"/>
          <w:color w:val="auto"/>
          <w:highlight w:val="none"/>
          <w:lang w:val="en-US" w:eastAsia="zh-CN"/>
        </w:rPr>
        <w:t>7.2 水土保持措施评价</w:t>
      </w:r>
      <w:bookmarkEnd w:id="345"/>
      <w:bookmarkEnd w:id="346"/>
      <w:bookmarkEnd w:id="347"/>
      <w:bookmarkEnd w:id="34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在施工过程中比较重视水土保持工作，能够认真及时落实各项水土保持防治措施，特别是能够及时实施临时措施，工程措施与主体工程同步实施，施工结束后及时进行绿化、土地整治，整体上取得了较好的防治效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本工程在施工中，基本能够按照水土保持方案布设的水土保持措施及相关法律法规实施水土保持防治措施，质量达标。水土保持措施建设与主体工程实现了“三同时”原则。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各项水土保持措施布局基本合理，防治效果效果明显。原报告制定的六项指标值均达到水土保持方案预定的目标值。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由于报告编制时，工程处于可研阶段，设计的各项水保措施在后期施工中有所变更，相应的防治措施的实施的工程量与方案设计的相比，个别防治措施与工程量有</w:t>
      </w:r>
      <w:r>
        <w:rPr>
          <w:rFonts w:hint="default" w:ascii="Times New Roman" w:hAnsi="Times New Roman" w:cs="Times New Roman"/>
          <w:color w:val="auto"/>
          <w:highlight w:val="none"/>
          <w:lang w:val="en-US" w:eastAsia="zh-CN"/>
        </w:rPr>
        <w:t>所变化。</w:t>
      </w:r>
    </w:p>
    <w:p>
      <w:pPr>
        <w:pStyle w:val="3"/>
        <w:bidi w:val="0"/>
        <w:rPr>
          <w:rFonts w:hint="default" w:ascii="Times New Roman" w:hAnsi="Times New Roman" w:cs="Times New Roman"/>
          <w:color w:val="auto"/>
          <w:highlight w:val="none"/>
          <w:lang w:val="en-US" w:eastAsia="zh-CN"/>
        </w:rPr>
      </w:pPr>
      <w:bookmarkStart w:id="349" w:name="_Toc5260"/>
      <w:bookmarkStart w:id="350" w:name="_Toc5105"/>
      <w:bookmarkStart w:id="351" w:name="_Toc20077"/>
      <w:bookmarkStart w:id="352" w:name="_Toc21280"/>
      <w:r>
        <w:rPr>
          <w:rFonts w:hint="default" w:ascii="Times New Roman" w:hAnsi="Times New Roman" w:cs="Times New Roman"/>
          <w:color w:val="auto"/>
          <w:highlight w:val="none"/>
          <w:lang w:val="en-US" w:eastAsia="zh-CN"/>
        </w:rPr>
        <w:t>7.3 存在的问题与建议</w:t>
      </w:r>
      <w:bookmarkEnd w:id="349"/>
      <w:bookmarkEnd w:id="350"/>
      <w:bookmarkEnd w:id="351"/>
      <w:bookmarkEnd w:id="35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本工程目前已经进入试运行阶段，经监测期实际调查，现阶段仍存在的一些问题， 针对部分问题提出以下建议：</w:t>
      </w:r>
    </w:p>
    <w:p>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虽然目前项目建设已经全部结束，工程进入试运行阶段，但部分绿化工程实施不完善，部分地段长势较差，建议运行管理单位加强植物措施维护抚育工作，使其更好的发挥其水土保持功能。</w:t>
      </w:r>
    </w:p>
    <w:p>
      <w:pPr>
        <w:pStyle w:val="23"/>
        <w:keepNext w:val="0"/>
        <w:keepLines w:val="0"/>
        <w:pageBreakBefore w:val="0"/>
        <w:widowControl w:val="0"/>
        <w:numPr>
          <w:ilvl w:val="0"/>
          <w:numId w:val="17"/>
        </w:numPr>
        <w:tabs>
          <w:tab w:val="left" w:pos="1326"/>
        </w:tabs>
        <w:kinsoku/>
        <w:wordWrap/>
        <w:overflowPunct/>
        <w:topLinePunct w:val="0"/>
        <w:autoSpaceDE/>
        <w:autoSpaceDN/>
        <w:bidi w:val="0"/>
        <w:adjustRightInd/>
        <w:snapToGrid/>
        <w:spacing w:before="0" w:after="0" w:line="360" w:lineRule="auto"/>
        <w:ind w:left="0" w:leftChars="0" w:right="833" w:rightChars="0" w:firstLine="480" w:firstLineChars="200"/>
        <w:jc w:val="left"/>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建议建设单位及时完善水土保持工程相关资料的归档和整理，做好水土保持设施验收准备。</w:t>
      </w:r>
    </w:p>
    <w:p>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建议制定排水沟清淤计划，定期对场内排水沟进行清淤；</w:t>
      </w:r>
    </w:p>
    <w:p>
      <w:pPr>
        <w:pStyle w:val="3"/>
        <w:bidi w:val="0"/>
        <w:rPr>
          <w:rFonts w:hint="default" w:ascii="Times New Roman" w:hAnsi="Times New Roman" w:cs="Times New Roman"/>
          <w:color w:val="auto"/>
          <w:highlight w:val="none"/>
          <w:lang w:val="en-US" w:eastAsia="zh-CN"/>
        </w:rPr>
      </w:pPr>
      <w:bookmarkStart w:id="353" w:name="_Toc21725"/>
      <w:bookmarkStart w:id="354" w:name="_Toc6604"/>
      <w:bookmarkStart w:id="355" w:name="_Toc6650"/>
      <w:bookmarkStart w:id="356" w:name="_Toc205"/>
      <w:r>
        <w:rPr>
          <w:rFonts w:hint="default" w:ascii="Times New Roman" w:hAnsi="Times New Roman" w:cs="Times New Roman"/>
          <w:color w:val="auto"/>
          <w:highlight w:val="none"/>
          <w:lang w:val="en-US" w:eastAsia="zh-CN"/>
        </w:rPr>
        <w:t>7.4 综合结论</w:t>
      </w:r>
      <w:bookmarkEnd w:id="353"/>
      <w:bookmarkEnd w:id="354"/>
      <w:bookmarkEnd w:id="355"/>
      <w:bookmarkEnd w:id="35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通过监测期的现场查勘及调查结果并结合施工资料分析表明，建设单位比较重视水土保持工作，按照水土保持法律法规的规定，依法委托编报了水土保持方案，落实了水土保持工程设计。将水土保持工程建设和管理纳入工作程序中，在工程建设过程中落实了项目法人、设计单位、施工单位、监理单位的水土保持职责人，强化了对水土保持工程的管理，实行“项目法人对国家负责，监理单位质量控制，施工单位质量保证， 政府监督”的质量管理体系，确保了水土保持方案的顺利实施。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本工程沿线水土保持措施布局合理，数量和质量基本达到了保持方案报告书的设计要求。植物措施实施后植被生长情况良好，工程措施无损坏，能起到较好的水土流失防治作用。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项目建设扰动区经过工程措施、植物措施的实施，水土流失面积和水土流失</w:t>
      </w:r>
      <w:r>
        <w:rPr>
          <w:rFonts w:hint="default" w:ascii="Times New Roman" w:hAnsi="Times New Roman" w:cs="Times New Roman"/>
          <w:color w:val="auto"/>
          <w:spacing w:val="-6"/>
          <w:sz w:val="24"/>
          <w:highlight w:val="none"/>
        </w:rPr>
        <w:t>强度都逐年递减。项目区的水土流失强度由施工中的中度下降到轻度、微度，有效的将</w:t>
      </w:r>
      <w:r>
        <w:rPr>
          <w:rFonts w:hint="default" w:ascii="Times New Roman" w:hAnsi="Times New Roman" w:cs="Times New Roman"/>
          <w:color w:val="auto"/>
          <w:sz w:val="24"/>
          <w:highlight w:val="none"/>
        </w:rPr>
        <w:t>水土流失控制在较低的范围内。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项目在建设中施工区安排合理、紧凑，施工工艺进行优化，并采取相应的水土保持防护措施，使扰动面积相应减少，从而减少了水土流失。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综上所述，本工程在项目建设中水土保持措施总体布局合理，防护效果明显，各项水土流失防治指标均达到水土保持方案设计的目标值，有效的控制了水土流失，保障了主体工程的顺利施工与安全运营。</w:t>
      </w:r>
    </w:p>
    <w:p>
      <w:pPr>
        <w:pStyle w:val="2"/>
        <w:bidi w:val="0"/>
        <w:outlineLvl w:val="9"/>
        <w:rPr>
          <w:rFonts w:hint="default" w:ascii="Times New Roman" w:hAnsi="Times New Roman" w:cs="Times New Roman"/>
          <w:color w:val="auto"/>
          <w:highlight w:val="none"/>
          <w:lang w:val="en-US" w:eastAsia="zh-CN"/>
        </w:rPr>
      </w:pPr>
      <w:bookmarkStart w:id="357" w:name="_Toc31556"/>
      <w:bookmarkStart w:id="358" w:name="_Toc7845"/>
      <w:bookmarkStart w:id="359" w:name="_Toc28671"/>
    </w:p>
    <w:p>
      <w:pPr>
        <w:pStyle w:val="2"/>
        <w:bidi w:val="0"/>
        <w:outlineLvl w:val="9"/>
        <w:rPr>
          <w:rFonts w:hint="default" w:ascii="Times New Roman" w:hAnsi="Times New Roman" w:cs="Times New Roman"/>
          <w:color w:val="auto"/>
          <w:highlight w:val="none"/>
          <w:lang w:val="en-US" w:eastAsia="zh-CN"/>
        </w:rPr>
      </w:pPr>
    </w:p>
    <w:p>
      <w:pPr>
        <w:pStyle w:val="2"/>
        <w:bidi w:val="0"/>
        <w:outlineLvl w:val="9"/>
        <w:rPr>
          <w:rFonts w:hint="default" w:ascii="Times New Roman" w:hAnsi="Times New Roman" w:cs="Times New Roman"/>
          <w:color w:val="auto"/>
          <w:highlight w:val="none"/>
          <w:lang w:val="en-US" w:eastAsia="zh-CN"/>
        </w:rPr>
      </w:pPr>
    </w:p>
    <w:p>
      <w:pPr>
        <w:pStyle w:val="2"/>
        <w:bidi w:val="0"/>
        <w:outlineLvl w:val="9"/>
        <w:rPr>
          <w:rFonts w:hint="default" w:ascii="Times New Roman" w:hAnsi="Times New Roman" w:cs="Times New Roman"/>
          <w:color w:val="auto"/>
          <w:highlight w:val="none"/>
          <w:lang w:val="en-US" w:eastAsia="zh-CN"/>
        </w:rPr>
      </w:pPr>
    </w:p>
    <w:p>
      <w:pPr>
        <w:pStyle w:val="2"/>
        <w:bidi w:val="0"/>
        <w:outlineLvl w:val="9"/>
        <w:rPr>
          <w:rFonts w:hint="default" w:ascii="Times New Roman" w:hAnsi="Times New Roman" w:cs="Times New Roman"/>
          <w:color w:val="auto"/>
          <w:highlight w:val="none"/>
          <w:lang w:val="en-US" w:eastAsia="zh-CN"/>
        </w:rPr>
      </w:pPr>
    </w:p>
    <w:p>
      <w:pPr>
        <w:pStyle w:val="2"/>
        <w:bidi w:val="0"/>
        <w:outlineLvl w:val="9"/>
        <w:rPr>
          <w:rFonts w:hint="default" w:ascii="Times New Roman" w:hAnsi="Times New Roman" w:cs="Times New Roman"/>
          <w:color w:val="auto"/>
          <w:highlight w:val="none"/>
          <w:lang w:val="en-US" w:eastAsia="zh-CN"/>
        </w:rPr>
        <w:sectPr>
          <w:headerReference r:id="rId23" w:type="default"/>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p>
    <w:p>
      <w:pPr>
        <w:pStyle w:val="2"/>
        <w:bidi w:val="0"/>
        <w:rPr>
          <w:rFonts w:hint="default" w:ascii="Times New Roman" w:hAnsi="Times New Roman" w:cs="Times New Roman"/>
          <w:color w:val="auto"/>
          <w:highlight w:val="none"/>
          <w:lang w:val="en-US" w:eastAsia="zh-CN"/>
        </w:rPr>
      </w:pPr>
      <w:bookmarkStart w:id="360" w:name="_Toc2501"/>
      <w:r>
        <w:rPr>
          <w:rFonts w:hint="default" w:ascii="Times New Roman" w:hAnsi="Times New Roman" w:cs="Times New Roman"/>
          <w:color w:val="auto"/>
          <w:highlight w:val="none"/>
          <w:lang w:val="en-US" w:eastAsia="zh-CN"/>
        </w:rPr>
        <w:t>8 附图及有关资料</w:t>
      </w:r>
      <w:bookmarkEnd w:id="357"/>
      <w:bookmarkEnd w:id="358"/>
      <w:bookmarkEnd w:id="359"/>
      <w:bookmarkEnd w:id="360"/>
    </w:p>
    <w:p>
      <w:pPr>
        <w:pStyle w:val="3"/>
        <w:bidi w:val="0"/>
        <w:rPr>
          <w:rFonts w:hint="default" w:ascii="Times New Roman" w:hAnsi="Times New Roman" w:cs="Times New Roman"/>
          <w:color w:val="auto"/>
          <w:highlight w:val="none"/>
          <w:lang w:val="en-US" w:eastAsia="zh-CN"/>
        </w:rPr>
      </w:pPr>
      <w:bookmarkStart w:id="361" w:name="_Toc6581"/>
      <w:bookmarkStart w:id="362" w:name="_Toc28068"/>
      <w:bookmarkStart w:id="363" w:name="_Toc30364"/>
      <w:bookmarkStart w:id="364" w:name="_Toc7278"/>
      <w:r>
        <w:rPr>
          <w:rFonts w:hint="default" w:ascii="Times New Roman" w:hAnsi="Times New Roman" w:cs="Times New Roman"/>
          <w:color w:val="auto"/>
          <w:highlight w:val="none"/>
          <w:lang w:val="en-US" w:eastAsia="zh-CN"/>
        </w:rPr>
        <w:t>8.1 有关资料</w:t>
      </w:r>
      <w:bookmarkEnd w:id="361"/>
      <w:bookmarkEnd w:id="362"/>
      <w:bookmarkEnd w:id="363"/>
      <w:bookmarkEnd w:id="364"/>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outlineLvl w:val="9"/>
        <w:rPr>
          <w:rFonts w:hint="default" w:ascii="Times New Roman" w:hAnsi="Times New Roman" w:eastAsia="宋体" w:cs="Times New Roman"/>
          <w:color w:val="auto"/>
          <w:highlight w:val="none"/>
        </w:rPr>
      </w:pPr>
    </w:p>
    <w:p>
      <w:pPr>
        <w:pStyle w:val="5"/>
        <w:spacing w:before="67"/>
        <w:ind w:left="0" w:right="134"/>
        <w:jc w:val="center"/>
        <w:rPr>
          <w:rFonts w:hint="default" w:ascii="Times New Roman" w:hAnsi="Times New Roman" w:cs="Times New Roman"/>
          <w:b/>
          <w:color w:val="auto"/>
          <w:sz w:val="12"/>
          <w:highlight w:val="none"/>
        </w:rPr>
      </w:pPr>
      <w:r>
        <w:rPr>
          <w:rFonts w:hint="default" w:ascii="Times New Roman" w:hAnsi="Times New Roman" w:eastAsia="宋体" w:cs="Times New Roman"/>
          <w:color w:val="auto"/>
          <w:highlight w:val="none"/>
          <w:lang w:val="en-US" w:eastAsia="zh-CN"/>
        </w:rPr>
        <w:t>华天路新建</w:t>
      </w:r>
      <w:r>
        <w:rPr>
          <w:rFonts w:hint="default" w:ascii="Times New Roman" w:hAnsi="Times New Roman" w:eastAsia="宋体" w:cs="Times New Roman"/>
          <w:color w:val="auto"/>
          <w:highlight w:val="none"/>
        </w:rPr>
        <w:t>项目水土保持监测三色评价</w:t>
      </w:r>
    </w:p>
    <w:tbl>
      <w:tblPr>
        <w:tblStyle w:val="19"/>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134"/>
        <w:gridCol w:w="1702"/>
        <w:gridCol w:w="1276"/>
        <w:gridCol w:w="1134"/>
        <w:gridCol w:w="439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jc w:val="center"/>
        </w:trPr>
        <w:tc>
          <w:tcPr>
            <w:tcW w:w="2836" w:type="dxa"/>
            <w:gridSpan w:val="2"/>
          </w:tcPr>
          <w:p>
            <w:pPr>
              <w:pStyle w:val="24"/>
              <w:spacing w:before="3"/>
              <w:jc w:val="left"/>
              <w:rPr>
                <w:rFonts w:hint="default" w:ascii="Times New Roman" w:hAnsi="Times New Roman" w:eastAsia="仿宋" w:cs="Times New Roman"/>
                <w:b/>
                <w:color w:val="auto"/>
                <w:sz w:val="21"/>
                <w:highlight w:val="none"/>
              </w:rPr>
            </w:pPr>
          </w:p>
          <w:p>
            <w:pPr>
              <w:pStyle w:val="24"/>
              <w:ind w:left="93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项目名称</w:t>
            </w:r>
          </w:p>
        </w:tc>
        <w:tc>
          <w:tcPr>
            <w:tcW w:w="6804" w:type="dxa"/>
            <w:gridSpan w:val="3"/>
          </w:tcPr>
          <w:p>
            <w:pPr>
              <w:pStyle w:val="24"/>
              <w:spacing w:before="3"/>
              <w:jc w:val="left"/>
              <w:rPr>
                <w:rFonts w:hint="default" w:ascii="Times New Roman" w:hAnsi="Times New Roman" w:eastAsia="仿宋" w:cs="Times New Roman"/>
                <w:b/>
                <w:color w:val="auto"/>
                <w:sz w:val="21"/>
                <w:highlight w:val="none"/>
              </w:rPr>
            </w:pPr>
          </w:p>
          <w:p>
            <w:pPr>
              <w:pStyle w:val="24"/>
              <w:ind w:left="107"/>
              <w:jc w:val="left"/>
              <w:rPr>
                <w:rFonts w:hint="default" w:ascii="Times New Roman" w:hAnsi="Times New Roman" w:eastAsia="仿宋" w:cs="Times New Roman"/>
                <w:color w:val="auto"/>
                <w:sz w:val="24"/>
                <w:highlight w:val="none"/>
              </w:rPr>
            </w:pPr>
            <w:r>
              <w:rPr>
                <w:rFonts w:hint="default" w:ascii="Times New Roman" w:hAnsi="Times New Roman" w:cs="Times New Roman"/>
                <w:color w:val="auto"/>
                <w:sz w:val="24"/>
                <w:highlight w:val="none"/>
                <w:lang w:val="en-US" w:eastAsia="zh-CN"/>
              </w:rPr>
              <w:t>华天路新建工程</w:t>
            </w:r>
            <w:r>
              <w:rPr>
                <w:rFonts w:hint="default" w:ascii="Times New Roman" w:hAnsi="Times New Roman" w:eastAsia="仿宋" w:cs="Times New Roman"/>
                <w:color w:val="auto"/>
                <w:sz w:val="24"/>
                <w:highlight w:val="none"/>
              </w:rPr>
              <w:t>项目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2836" w:type="dxa"/>
            <w:gridSpan w:val="2"/>
          </w:tcPr>
          <w:p>
            <w:pPr>
              <w:pStyle w:val="24"/>
              <w:spacing w:before="24" w:line="466" w:lineRule="exact"/>
              <w:ind w:left="107" w:right="73"/>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监测时段和防治责任范围</w:t>
            </w:r>
          </w:p>
        </w:tc>
        <w:tc>
          <w:tcPr>
            <w:tcW w:w="6804" w:type="dxa"/>
            <w:gridSpan w:val="3"/>
          </w:tcPr>
          <w:p>
            <w:pPr>
              <w:pStyle w:val="24"/>
              <w:spacing w:before="6"/>
              <w:jc w:val="left"/>
              <w:rPr>
                <w:rFonts w:hint="default" w:ascii="Times New Roman" w:hAnsi="Times New Roman" w:eastAsia="仿宋" w:cs="Times New Roman"/>
                <w:b/>
                <w:color w:val="auto"/>
                <w:sz w:val="30"/>
                <w:highlight w:val="none"/>
              </w:rPr>
            </w:pPr>
          </w:p>
          <w:p>
            <w:pPr>
              <w:pStyle w:val="24"/>
              <w:tabs>
                <w:tab w:val="left" w:pos="467"/>
                <w:tab w:val="left" w:pos="1747"/>
              </w:tabs>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u w:val="single"/>
              </w:rPr>
              <w:t xml:space="preserve"> </w:t>
            </w:r>
            <w:r>
              <w:rPr>
                <w:rFonts w:hint="default" w:ascii="Times New Roman" w:hAnsi="Times New Roman" w:eastAsia="仿宋" w:cs="Times New Roman"/>
                <w:color w:val="auto"/>
                <w:sz w:val="24"/>
                <w:highlight w:val="none"/>
                <w:u w:val="single"/>
              </w:rPr>
              <w:tab/>
            </w:r>
            <w:r>
              <w:rPr>
                <w:rFonts w:hint="default" w:ascii="Times New Roman" w:hAnsi="Times New Roman" w:eastAsia="仿宋" w:cs="Times New Roman"/>
                <w:color w:val="auto"/>
                <w:sz w:val="24"/>
                <w:highlight w:val="none"/>
                <w:u w:val="single"/>
              </w:rPr>
              <w:t>201</w:t>
            </w:r>
            <w:r>
              <w:rPr>
                <w:rFonts w:hint="default" w:ascii="Times New Roman" w:hAnsi="Times New Roman" w:eastAsia="仿宋" w:cs="Times New Roman"/>
                <w:color w:val="auto"/>
                <w:sz w:val="24"/>
                <w:highlight w:val="none"/>
                <w:u w:val="single"/>
                <w:lang w:val="en-US" w:eastAsia="zh-CN"/>
              </w:rPr>
              <w:t>6</w:t>
            </w:r>
            <w:r>
              <w:rPr>
                <w:rFonts w:hint="default" w:ascii="Times New Roman" w:hAnsi="Times New Roman" w:eastAsia="仿宋" w:cs="Times New Roman"/>
                <w:color w:val="auto"/>
                <w:sz w:val="24"/>
                <w:highlight w:val="none"/>
                <w:u w:val="single"/>
              </w:rPr>
              <w:t>-20</w:t>
            </w:r>
            <w:r>
              <w:rPr>
                <w:rFonts w:hint="default" w:ascii="Times New Roman" w:hAnsi="Times New Roman" w:eastAsia="仿宋" w:cs="Times New Roman"/>
                <w:color w:val="auto"/>
                <w:sz w:val="24"/>
                <w:highlight w:val="none"/>
                <w:u w:val="single"/>
                <w:lang w:val="en-US" w:eastAsia="zh-CN"/>
              </w:rPr>
              <w:t>17</w:t>
            </w:r>
            <w:r>
              <w:rPr>
                <w:rFonts w:hint="default" w:ascii="Times New Roman" w:hAnsi="Times New Roman" w:eastAsia="仿宋" w:cs="Times New Roman"/>
                <w:color w:val="auto"/>
                <w:sz w:val="24"/>
                <w:highlight w:val="none"/>
                <w:u w:val="single"/>
              </w:rPr>
              <w:tab/>
            </w:r>
            <w:r>
              <w:rPr>
                <w:rFonts w:hint="default" w:ascii="Times New Roman" w:hAnsi="Times New Roman" w:eastAsia="仿宋" w:cs="Times New Roman"/>
                <w:color w:val="auto"/>
                <w:sz w:val="24"/>
                <w:highlight w:val="none"/>
              </w:rPr>
              <w:t>年，</w:t>
            </w:r>
            <w:r>
              <w:rPr>
                <w:rFonts w:hint="default" w:ascii="Times New Roman" w:hAnsi="Times New Roman" w:eastAsia="仿宋" w:cs="Times New Roman"/>
                <w:color w:val="auto"/>
                <w:sz w:val="24"/>
                <w:highlight w:val="none"/>
                <w:u w:val="single"/>
              </w:rPr>
              <w:t xml:space="preserve"> </w:t>
            </w:r>
            <w:r>
              <w:rPr>
                <w:rFonts w:hint="default" w:ascii="Times New Roman" w:hAnsi="Times New Roman" w:eastAsia="仿宋" w:cs="Times New Roman"/>
                <w:color w:val="auto"/>
                <w:sz w:val="24"/>
                <w:highlight w:val="none"/>
                <w:u w:val="single"/>
                <w:lang w:val="en-US" w:eastAsia="zh-CN"/>
              </w:rPr>
              <w:t>8.51</w:t>
            </w:r>
            <w:r>
              <w:rPr>
                <w:rFonts w:hint="default" w:ascii="Times New Roman" w:hAnsi="Times New Roman" w:eastAsia="仿宋" w:cs="Times New Roman"/>
                <w:color w:val="auto"/>
                <w:sz w:val="24"/>
                <w:highlight w:val="none"/>
              </w:rPr>
              <w:t xml:space="preserve"> 公顷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jc w:val="center"/>
        </w:trPr>
        <w:tc>
          <w:tcPr>
            <w:tcW w:w="2836" w:type="dxa"/>
            <w:gridSpan w:val="2"/>
          </w:tcPr>
          <w:p>
            <w:pPr>
              <w:pStyle w:val="24"/>
              <w:spacing w:before="3"/>
              <w:jc w:val="left"/>
              <w:rPr>
                <w:rFonts w:hint="default" w:ascii="Times New Roman" w:hAnsi="Times New Roman" w:eastAsia="仿宋" w:cs="Times New Roman"/>
                <w:b/>
                <w:color w:val="auto"/>
                <w:sz w:val="21"/>
                <w:highlight w:val="none"/>
              </w:rPr>
            </w:pPr>
          </w:p>
          <w:p>
            <w:pPr>
              <w:pStyle w:val="24"/>
              <w:ind w:left="696"/>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三色评价结论</w:t>
            </w:r>
          </w:p>
        </w:tc>
        <w:tc>
          <w:tcPr>
            <w:tcW w:w="6804" w:type="dxa"/>
            <w:gridSpan w:val="3"/>
          </w:tcPr>
          <w:p>
            <w:pPr>
              <w:pStyle w:val="24"/>
              <w:tabs>
                <w:tab w:val="left" w:pos="1273"/>
                <w:tab w:val="left" w:pos="2233"/>
              </w:tabs>
              <w:spacing w:before="259"/>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绿色☑</w:t>
            </w:r>
            <w:r>
              <w:rPr>
                <w:rFonts w:hint="default" w:ascii="Times New Roman" w:hAnsi="Times New Roman" w:eastAsia="仿宋" w:cs="Times New Roman"/>
                <w:color w:val="auto"/>
                <w:sz w:val="24"/>
                <w:highlight w:val="none"/>
              </w:rPr>
              <w:tab/>
            </w:r>
            <w:r>
              <w:rPr>
                <w:rFonts w:hint="default" w:ascii="Times New Roman" w:hAnsi="Times New Roman" w:eastAsia="仿宋" w:cs="Times New Roman"/>
                <w:color w:val="auto"/>
                <w:sz w:val="24"/>
                <w:highlight w:val="none"/>
              </w:rPr>
              <w:t>黄色□</w:t>
            </w:r>
            <w:r>
              <w:rPr>
                <w:rFonts w:hint="default" w:ascii="Times New Roman" w:hAnsi="Times New Roman" w:eastAsia="仿宋" w:cs="Times New Roman"/>
                <w:color w:val="auto"/>
                <w:sz w:val="24"/>
                <w:highlight w:val="none"/>
              </w:rPr>
              <w:tab/>
            </w:r>
            <w:r>
              <w:rPr>
                <w:rFonts w:hint="default" w:ascii="Times New Roman" w:hAnsi="Times New Roman" w:eastAsia="仿宋" w:cs="Times New Roman"/>
                <w:color w:val="auto"/>
                <w:sz w:val="24"/>
                <w:highlight w:val="none"/>
              </w:rPr>
              <w:t>红色□</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2836" w:type="dxa"/>
            <w:gridSpan w:val="2"/>
          </w:tcPr>
          <w:p>
            <w:pPr>
              <w:pStyle w:val="24"/>
              <w:spacing w:before="1"/>
              <w:jc w:val="left"/>
              <w:rPr>
                <w:rFonts w:hint="default" w:ascii="Times New Roman" w:hAnsi="Times New Roman" w:eastAsia="仿宋" w:cs="Times New Roman"/>
                <w:b/>
                <w:color w:val="auto"/>
                <w:sz w:val="21"/>
                <w:highlight w:val="none"/>
              </w:rPr>
            </w:pPr>
          </w:p>
          <w:p>
            <w:pPr>
              <w:pStyle w:val="24"/>
              <w:spacing w:before="1"/>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评价指标</w:t>
            </w:r>
          </w:p>
        </w:tc>
        <w:tc>
          <w:tcPr>
            <w:tcW w:w="1276" w:type="dxa"/>
          </w:tcPr>
          <w:p>
            <w:pPr>
              <w:pStyle w:val="24"/>
              <w:spacing w:before="1"/>
              <w:jc w:val="left"/>
              <w:rPr>
                <w:rFonts w:hint="default" w:ascii="Times New Roman" w:hAnsi="Times New Roman" w:eastAsia="仿宋" w:cs="Times New Roman"/>
                <w:b/>
                <w:color w:val="auto"/>
                <w:sz w:val="21"/>
                <w:highlight w:val="none"/>
              </w:rPr>
            </w:pPr>
          </w:p>
          <w:p>
            <w:pPr>
              <w:pStyle w:val="24"/>
              <w:spacing w:before="1"/>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分值</w:t>
            </w:r>
          </w:p>
        </w:tc>
        <w:tc>
          <w:tcPr>
            <w:tcW w:w="1134" w:type="dxa"/>
          </w:tcPr>
          <w:p>
            <w:pPr>
              <w:pStyle w:val="24"/>
              <w:spacing w:before="1"/>
              <w:jc w:val="left"/>
              <w:rPr>
                <w:rFonts w:hint="default" w:ascii="Times New Roman" w:hAnsi="Times New Roman" w:eastAsia="仿宋" w:cs="Times New Roman"/>
                <w:b/>
                <w:color w:val="auto"/>
                <w:sz w:val="21"/>
                <w:highlight w:val="none"/>
              </w:rPr>
            </w:pPr>
          </w:p>
          <w:p>
            <w:pPr>
              <w:pStyle w:val="24"/>
              <w:spacing w:before="1"/>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得分</w:t>
            </w:r>
          </w:p>
        </w:tc>
        <w:tc>
          <w:tcPr>
            <w:tcW w:w="4394" w:type="dxa"/>
          </w:tcPr>
          <w:p>
            <w:pPr>
              <w:pStyle w:val="24"/>
              <w:spacing w:before="1"/>
              <w:jc w:val="left"/>
              <w:rPr>
                <w:rFonts w:hint="default" w:ascii="Times New Roman" w:hAnsi="Times New Roman" w:eastAsia="仿宋" w:cs="Times New Roman"/>
                <w:b/>
                <w:color w:val="auto"/>
                <w:sz w:val="21"/>
                <w:highlight w:val="none"/>
              </w:rPr>
            </w:pPr>
          </w:p>
          <w:p>
            <w:pPr>
              <w:pStyle w:val="24"/>
              <w:spacing w:before="1"/>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赋分说明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jc w:val="center"/>
        </w:trPr>
        <w:tc>
          <w:tcPr>
            <w:tcW w:w="1134" w:type="dxa"/>
            <w:vMerge w:val="restart"/>
          </w:tcPr>
          <w:p>
            <w:pPr>
              <w:pStyle w:val="24"/>
              <w:spacing w:before="6"/>
              <w:jc w:val="left"/>
              <w:rPr>
                <w:rFonts w:hint="default" w:ascii="Times New Roman" w:hAnsi="Times New Roman" w:eastAsia="仿宋" w:cs="Times New Roman"/>
                <w:b/>
                <w:color w:val="auto"/>
                <w:sz w:val="31"/>
                <w:highlight w:val="none"/>
              </w:rPr>
            </w:pPr>
          </w:p>
          <w:p>
            <w:pPr>
              <w:pStyle w:val="24"/>
              <w:spacing w:line="364" w:lineRule="auto"/>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pacing w:val="65"/>
                <w:sz w:val="24"/>
                <w:highlight w:val="none"/>
              </w:rPr>
              <w:t>扰动土地情况</w:t>
            </w:r>
          </w:p>
        </w:tc>
        <w:tc>
          <w:tcPr>
            <w:tcW w:w="1702" w:type="dxa"/>
          </w:tcPr>
          <w:p>
            <w:pPr>
              <w:pStyle w:val="24"/>
              <w:spacing w:before="3"/>
              <w:jc w:val="left"/>
              <w:rPr>
                <w:rFonts w:hint="default" w:ascii="Times New Roman" w:hAnsi="Times New Roman" w:eastAsia="仿宋" w:cs="Times New Roman"/>
                <w:b/>
                <w:color w:val="auto"/>
                <w:sz w:val="21"/>
                <w:highlight w:val="none"/>
              </w:rPr>
            </w:pPr>
          </w:p>
          <w:p>
            <w:pPr>
              <w:pStyle w:val="24"/>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扰动范围控制</w:t>
            </w:r>
          </w:p>
        </w:tc>
        <w:tc>
          <w:tcPr>
            <w:tcW w:w="1276" w:type="dxa"/>
          </w:tcPr>
          <w:p>
            <w:pPr>
              <w:pStyle w:val="24"/>
              <w:spacing w:before="12"/>
              <w:jc w:val="left"/>
              <w:rPr>
                <w:rFonts w:hint="default" w:ascii="Times New Roman" w:hAnsi="Times New Roman" w:eastAsia="仿宋" w:cs="Times New Roman"/>
                <w:b/>
                <w:color w:val="auto"/>
                <w:sz w:val="22"/>
                <w:highlight w:val="none"/>
              </w:rPr>
            </w:pPr>
          </w:p>
          <w:p>
            <w:pPr>
              <w:pStyle w:val="24"/>
              <w:ind w:left="436" w:right="429"/>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15</w:t>
            </w:r>
          </w:p>
        </w:tc>
        <w:tc>
          <w:tcPr>
            <w:tcW w:w="1134" w:type="dxa"/>
          </w:tcPr>
          <w:p>
            <w:pPr>
              <w:pStyle w:val="24"/>
              <w:spacing w:before="12"/>
              <w:jc w:val="left"/>
              <w:rPr>
                <w:rFonts w:hint="default" w:ascii="Times New Roman" w:hAnsi="Times New Roman" w:eastAsia="仿宋" w:cs="Times New Roman"/>
                <w:b/>
                <w:color w:val="auto"/>
                <w:sz w:val="22"/>
                <w:highlight w:val="none"/>
              </w:rPr>
            </w:pPr>
          </w:p>
          <w:p>
            <w:pPr>
              <w:pStyle w:val="24"/>
              <w:ind w:right="436"/>
              <w:jc w:val="right"/>
              <w:rPr>
                <w:rFonts w:hint="default" w:ascii="Times New Roman" w:hAnsi="Times New Roman" w:eastAsia="仿宋" w:cs="Times New Roman"/>
                <w:color w:val="auto"/>
                <w:sz w:val="24"/>
                <w:highlight w:val="none"/>
                <w:lang w:val="en-US" w:eastAsia="zh-CN"/>
              </w:rPr>
            </w:pPr>
            <w:r>
              <w:rPr>
                <w:rFonts w:hint="default" w:ascii="Times New Roman" w:hAnsi="Times New Roman" w:eastAsia="仿宋" w:cs="Times New Roman"/>
                <w:color w:val="auto"/>
                <w:sz w:val="24"/>
                <w:highlight w:val="none"/>
              </w:rPr>
              <w:t>1</w:t>
            </w:r>
            <w:r>
              <w:rPr>
                <w:rFonts w:hint="default" w:ascii="Times New Roman" w:hAnsi="Times New Roman" w:eastAsia="仿宋" w:cs="Times New Roman"/>
                <w:color w:val="auto"/>
                <w:sz w:val="24"/>
                <w:highlight w:val="none"/>
                <w:lang w:val="en-US" w:eastAsia="zh-CN"/>
              </w:rPr>
              <w:t>4</w:t>
            </w:r>
          </w:p>
        </w:tc>
        <w:tc>
          <w:tcPr>
            <w:tcW w:w="4394" w:type="dxa"/>
          </w:tcPr>
          <w:p>
            <w:pPr>
              <w:pStyle w:val="24"/>
              <w:spacing w:before="3"/>
              <w:jc w:val="left"/>
              <w:rPr>
                <w:rFonts w:hint="default" w:ascii="Times New Roman" w:hAnsi="Times New Roman" w:eastAsia="仿宋" w:cs="Times New Roman"/>
                <w:b/>
                <w:color w:val="auto"/>
                <w:sz w:val="21"/>
                <w:highlight w:val="none"/>
              </w:rPr>
            </w:pPr>
          </w:p>
          <w:p>
            <w:pPr>
              <w:pStyle w:val="24"/>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少面积超出施工扰动范围。</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1134" w:type="dxa"/>
            <w:vMerge w:val="continue"/>
            <w:tcBorders>
              <w:top w:val="nil"/>
            </w:tcBorders>
          </w:tcPr>
          <w:p>
            <w:pPr>
              <w:rPr>
                <w:rFonts w:hint="default" w:ascii="Times New Roman" w:hAnsi="Times New Roman" w:eastAsia="仿宋" w:cs="Times New Roman"/>
                <w:color w:val="auto"/>
                <w:sz w:val="2"/>
                <w:szCs w:val="2"/>
                <w:highlight w:val="none"/>
              </w:rPr>
            </w:pPr>
          </w:p>
        </w:tc>
        <w:tc>
          <w:tcPr>
            <w:tcW w:w="1702" w:type="dxa"/>
          </w:tcPr>
          <w:p>
            <w:pPr>
              <w:pStyle w:val="24"/>
              <w:spacing w:before="1"/>
              <w:jc w:val="left"/>
              <w:rPr>
                <w:rFonts w:hint="default" w:ascii="Times New Roman" w:hAnsi="Times New Roman" w:eastAsia="仿宋" w:cs="Times New Roman"/>
                <w:b/>
                <w:color w:val="auto"/>
                <w:sz w:val="21"/>
                <w:highlight w:val="none"/>
              </w:rPr>
            </w:pPr>
          </w:p>
          <w:p>
            <w:pPr>
              <w:pStyle w:val="24"/>
              <w:spacing w:before="1"/>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表土剥离保护</w:t>
            </w:r>
          </w:p>
        </w:tc>
        <w:tc>
          <w:tcPr>
            <w:tcW w:w="1276" w:type="dxa"/>
          </w:tcPr>
          <w:p>
            <w:pPr>
              <w:pStyle w:val="24"/>
              <w:spacing w:before="11"/>
              <w:jc w:val="left"/>
              <w:rPr>
                <w:rFonts w:hint="default" w:ascii="Times New Roman" w:hAnsi="Times New Roman" w:eastAsia="仿宋" w:cs="Times New Roman"/>
                <w:b/>
                <w:color w:val="auto"/>
                <w:sz w:val="22"/>
                <w:highlight w:val="none"/>
              </w:rPr>
            </w:pPr>
          </w:p>
          <w:p>
            <w:pPr>
              <w:pStyle w:val="24"/>
              <w:ind w:left="7"/>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5</w:t>
            </w:r>
          </w:p>
        </w:tc>
        <w:tc>
          <w:tcPr>
            <w:tcW w:w="1134" w:type="dxa"/>
          </w:tcPr>
          <w:p>
            <w:pPr>
              <w:pStyle w:val="24"/>
              <w:spacing w:before="11"/>
              <w:jc w:val="left"/>
              <w:rPr>
                <w:rFonts w:hint="default" w:ascii="Times New Roman" w:hAnsi="Times New Roman" w:eastAsia="仿宋" w:cs="Times New Roman"/>
                <w:b/>
                <w:color w:val="auto"/>
                <w:sz w:val="22"/>
                <w:highlight w:val="none"/>
              </w:rPr>
            </w:pPr>
          </w:p>
          <w:p>
            <w:pPr>
              <w:pStyle w:val="24"/>
              <w:ind w:left="6"/>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5</w:t>
            </w:r>
          </w:p>
        </w:tc>
        <w:tc>
          <w:tcPr>
            <w:tcW w:w="4394" w:type="dxa"/>
          </w:tcPr>
          <w:p>
            <w:pPr>
              <w:pStyle w:val="24"/>
              <w:spacing w:before="1"/>
              <w:jc w:val="left"/>
              <w:rPr>
                <w:rFonts w:hint="default" w:ascii="Times New Roman" w:hAnsi="Times New Roman" w:eastAsia="仿宋" w:cs="Times New Roman"/>
                <w:b/>
                <w:color w:val="auto"/>
                <w:sz w:val="21"/>
                <w:highlight w:val="none"/>
              </w:rPr>
            </w:pPr>
          </w:p>
          <w:p>
            <w:pPr>
              <w:pStyle w:val="24"/>
              <w:spacing w:before="1"/>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已实施表土剥离。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90" w:hRule="atLeast"/>
          <w:jc w:val="center"/>
        </w:trPr>
        <w:tc>
          <w:tcPr>
            <w:tcW w:w="1134" w:type="dxa"/>
            <w:vMerge w:val="continue"/>
            <w:tcBorders>
              <w:top w:val="nil"/>
            </w:tcBorders>
          </w:tcPr>
          <w:p>
            <w:pPr>
              <w:rPr>
                <w:rFonts w:hint="default" w:ascii="Times New Roman" w:hAnsi="Times New Roman" w:eastAsia="仿宋" w:cs="Times New Roman"/>
                <w:color w:val="auto"/>
                <w:sz w:val="2"/>
                <w:szCs w:val="2"/>
                <w:highlight w:val="none"/>
              </w:rPr>
            </w:pPr>
          </w:p>
        </w:tc>
        <w:tc>
          <w:tcPr>
            <w:tcW w:w="1702" w:type="dxa"/>
          </w:tcPr>
          <w:p>
            <w:pPr>
              <w:pStyle w:val="24"/>
              <w:spacing w:before="25" w:line="466" w:lineRule="exact"/>
              <w:ind w:left="107" w:right="-29"/>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pacing w:val="-19"/>
                <w:sz w:val="24"/>
                <w:highlight w:val="none"/>
              </w:rPr>
              <w:t>弃土</w:t>
            </w:r>
            <w:r>
              <w:rPr>
                <w:rFonts w:hint="default" w:ascii="Times New Roman" w:hAnsi="Times New Roman" w:eastAsia="仿宋" w:cs="Times New Roman"/>
                <w:color w:val="auto"/>
                <w:sz w:val="24"/>
                <w:highlight w:val="none"/>
              </w:rPr>
              <w:t>（</w:t>
            </w:r>
            <w:r>
              <w:rPr>
                <w:rFonts w:hint="default" w:ascii="Times New Roman" w:hAnsi="Times New Roman" w:eastAsia="仿宋" w:cs="Times New Roman"/>
                <w:color w:val="auto"/>
                <w:spacing w:val="-14"/>
                <w:sz w:val="24"/>
                <w:highlight w:val="none"/>
              </w:rPr>
              <w:t>石、渣</w:t>
            </w:r>
            <w:r>
              <w:rPr>
                <w:rFonts w:hint="default" w:ascii="Times New Roman" w:hAnsi="Times New Roman" w:eastAsia="仿宋" w:cs="Times New Roman"/>
                <w:color w:val="auto"/>
                <w:sz w:val="24"/>
                <w:highlight w:val="none"/>
              </w:rPr>
              <w:t>） 堆放</w:t>
            </w:r>
          </w:p>
        </w:tc>
        <w:tc>
          <w:tcPr>
            <w:tcW w:w="1276" w:type="dxa"/>
          </w:tcPr>
          <w:p>
            <w:pPr>
              <w:pStyle w:val="24"/>
              <w:spacing w:before="2"/>
              <w:jc w:val="left"/>
              <w:rPr>
                <w:rFonts w:hint="default" w:ascii="Times New Roman" w:hAnsi="Times New Roman" w:eastAsia="仿宋" w:cs="Times New Roman"/>
                <w:b/>
                <w:color w:val="auto"/>
                <w:sz w:val="32"/>
                <w:highlight w:val="none"/>
              </w:rPr>
            </w:pPr>
          </w:p>
          <w:p>
            <w:pPr>
              <w:pStyle w:val="24"/>
              <w:spacing w:before="1"/>
              <w:ind w:left="436" w:right="429"/>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15</w:t>
            </w:r>
          </w:p>
        </w:tc>
        <w:tc>
          <w:tcPr>
            <w:tcW w:w="1134" w:type="dxa"/>
          </w:tcPr>
          <w:p>
            <w:pPr>
              <w:pStyle w:val="24"/>
              <w:spacing w:before="2"/>
              <w:jc w:val="left"/>
              <w:rPr>
                <w:rFonts w:hint="default" w:ascii="Times New Roman" w:hAnsi="Times New Roman" w:eastAsia="仿宋" w:cs="Times New Roman"/>
                <w:b/>
                <w:color w:val="auto"/>
                <w:sz w:val="32"/>
                <w:highlight w:val="none"/>
              </w:rPr>
            </w:pPr>
          </w:p>
          <w:p>
            <w:pPr>
              <w:pStyle w:val="24"/>
              <w:spacing w:before="1"/>
              <w:ind w:right="436"/>
              <w:jc w:val="right"/>
              <w:rPr>
                <w:rFonts w:hint="default" w:ascii="Times New Roman" w:hAnsi="Times New Roman" w:eastAsia="仿宋" w:cs="Times New Roman"/>
                <w:color w:val="auto"/>
                <w:sz w:val="24"/>
                <w:highlight w:val="none"/>
                <w:lang w:val="en-US" w:eastAsia="zh-CN"/>
              </w:rPr>
            </w:pPr>
            <w:r>
              <w:rPr>
                <w:rFonts w:hint="default" w:ascii="Times New Roman" w:hAnsi="Times New Roman" w:eastAsia="仿宋" w:cs="Times New Roman"/>
                <w:color w:val="auto"/>
                <w:sz w:val="24"/>
                <w:highlight w:val="none"/>
              </w:rPr>
              <w:t>1</w:t>
            </w:r>
            <w:r>
              <w:rPr>
                <w:rFonts w:hint="default" w:ascii="Times New Roman" w:hAnsi="Times New Roman" w:eastAsia="仿宋" w:cs="Times New Roman"/>
                <w:color w:val="auto"/>
                <w:sz w:val="24"/>
                <w:highlight w:val="none"/>
                <w:lang w:val="en-US" w:eastAsia="zh-CN"/>
              </w:rPr>
              <w:t>4</w:t>
            </w:r>
          </w:p>
        </w:tc>
        <w:tc>
          <w:tcPr>
            <w:tcW w:w="4394" w:type="dxa"/>
          </w:tcPr>
          <w:p>
            <w:pPr>
              <w:pStyle w:val="24"/>
              <w:spacing w:before="6"/>
              <w:jc w:val="left"/>
              <w:rPr>
                <w:rFonts w:hint="default" w:ascii="Times New Roman" w:hAnsi="Times New Roman" w:eastAsia="仿宋" w:cs="Times New Roman"/>
                <w:b/>
                <w:color w:val="auto"/>
                <w:sz w:val="30"/>
                <w:highlight w:val="none"/>
              </w:rPr>
            </w:pPr>
          </w:p>
          <w:p>
            <w:pPr>
              <w:pStyle w:val="24"/>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按方案设计进行堆放</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2836" w:type="dxa"/>
            <w:gridSpan w:val="2"/>
          </w:tcPr>
          <w:p>
            <w:pPr>
              <w:pStyle w:val="24"/>
              <w:spacing w:before="1"/>
              <w:jc w:val="left"/>
              <w:rPr>
                <w:rFonts w:hint="default" w:ascii="Times New Roman" w:hAnsi="Times New Roman" w:eastAsia="仿宋" w:cs="Times New Roman"/>
                <w:b/>
                <w:color w:val="auto"/>
                <w:sz w:val="21"/>
                <w:highlight w:val="none"/>
              </w:rPr>
            </w:pPr>
          </w:p>
          <w:p>
            <w:pPr>
              <w:pStyle w:val="24"/>
              <w:spacing w:before="1"/>
              <w:ind w:left="696"/>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水土流失状况</w:t>
            </w:r>
          </w:p>
        </w:tc>
        <w:tc>
          <w:tcPr>
            <w:tcW w:w="1276" w:type="dxa"/>
          </w:tcPr>
          <w:p>
            <w:pPr>
              <w:pStyle w:val="24"/>
              <w:spacing w:before="11"/>
              <w:jc w:val="left"/>
              <w:rPr>
                <w:rFonts w:hint="default" w:ascii="Times New Roman" w:hAnsi="Times New Roman" w:eastAsia="仿宋" w:cs="Times New Roman"/>
                <w:b/>
                <w:color w:val="auto"/>
                <w:sz w:val="22"/>
                <w:highlight w:val="none"/>
              </w:rPr>
            </w:pPr>
          </w:p>
          <w:p>
            <w:pPr>
              <w:pStyle w:val="24"/>
              <w:ind w:left="436" w:right="429"/>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15</w:t>
            </w:r>
          </w:p>
        </w:tc>
        <w:tc>
          <w:tcPr>
            <w:tcW w:w="1134" w:type="dxa"/>
          </w:tcPr>
          <w:p>
            <w:pPr>
              <w:pStyle w:val="24"/>
              <w:spacing w:before="11"/>
              <w:jc w:val="left"/>
              <w:rPr>
                <w:rFonts w:hint="default" w:ascii="Times New Roman" w:hAnsi="Times New Roman" w:eastAsia="仿宋" w:cs="Times New Roman"/>
                <w:b/>
                <w:color w:val="auto"/>
                <w:sz w:val="22"/>
                <w:highlight w:val="none"/>
              </w:rPr>
            </w:pPr>
          </w:p>
          <w:p>
            <w:pPr>
              <w:pStyle w:val="24"/>
              <w:ind w:right="436"/>
              <w:jc w:val="righ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15</w:t>
            </w:r>
          </w:p>
        </w:tc>
        <w:tc>
          <w:tcPr>
            <w:tcW w:w="4394" w:type="dxa"/>
          </w:tcPr>
          <w:p>
            <w:pPr>
              <w:pStyle w:val="24"/>
              <w:jc w:val="left"/>
              <w:rPr>
                <w:rFonts w:hint="default" w:ascii="Times New Roman" w:hAnsi="Times New Roman" w:eastAsia="仿宋" w:cs="Times New Roman"/>
                <w:color w:val="auto"/>
                <w:sz w:val="2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jc w:val="center"/>
        </w:trPr>
        <w:tc>
          <w:tcPr>
            <w:tcW w:w="1134" w:type="dxa"/>
            <w:vMerge w:val="restart"/>
          </w:tcPr>
          <w:p>
            <w:pPr>
              <w:pStyle w:val="24"/>
              <w:jc w:val="left"/>
              <w:rPr>
                <w:rFonts w:hint="default" w:ascii="Times New Roman" w:hAnsi="Times New Roman" w:eastAsia="仿宋" w:cs="Times New Roman"/>
                <w:b/>
                <w:color w:val="auto"/>
                <w:sz w:val="24"/>
                <w:highlight w:val="none"/>
              </w:rPr>
            </w:pPr>
          </w:p>
          <w:p>
            <w:pPr>
              <w:pStyle w:val="24"/>
              <w:jc w:val="left"/>
              <w:rPr>
                <w:rFonts w:hint="default" w:ascii="Times New Roman" w:hAnsi="Times New Roman" w:eastAsia="仿宋" w:cs="Times New Roman"/>
                <w:b/>
                <w:color w:val="auto"/>
                <w:sz w:val="24"/>
                <w:highlight w:val="none"/>
              </w:rPr>
            </w:pPr>
          </w:p>
          <w:p>
            <w:pPr>
              <w:pStyle w:val="24"/>
              <w:jc w:val="left"/>
              <w:rPr>
                <w:rFonts w:hint="default" w:ascii="Times New Roman" w:hAnsi="Times New Roman" w:eastAsia="仿宋" w:cs="Times New Roman"/>
                <w:b/>
                <w:color w:val="auto"/>
                <w:sz w:val="24"/>
                <w:highlight w:val="none"/>
              </w:rPr>
            </w:pPr>
          </w:p>
          <w:p>
            <w:pPr>
              <w:pStyle w:val="24"/>
              <w:spacing w:before="174" w:line="364" w:lineRule="auto"/>
              <w:ind w:left="107"/>
              <w:jc w:val="both"/>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pacing w:val="65"/>
                <w:sz w:val="24"/>
                <w:highlight w:val="none"/>
              </w:rPr>
              <w:t>水土流失防治成效</w:t>
            </w:r>
          </w:p>
        </w:tc>
        <w:tc>
          <w:tcPr>
            <w:tcW w:w="1702" w:type="dxa"/>
          </w:tcPr>
          <w:p>
            <w:pPr>
              <w:pStyle w:val="24"/>
              <w:spacing w:before="3"/>
              <w:jc w:val="left"/>
              <w:rPr>
                <w:rFonts w:hint="default" w:ascii="Times New Roman" w:hAnsi="Times New Roman" w:eastAsia="仿宋" w:cs="Times New Roman"/>
                <w:b/>
                <w:color w:val="auto"/>
                <w:sz w:val="21"/>
                <w:highlight w:val="none"/>
              </w:rPr>
            </w:pPr>
          </w:p>
          <w:p>
            <w:pPr>
              <w:pStyle w:val="24"/>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工程措施</w:t>
            </w:r>
          </w:p>
        </w:tc>
        <w:tc>
          <w:tcPr>
            <w:tcW w:w="1276" w:type="dxa"/>
          </w:tcPr>
          <w:p>
            <w:pPr>
              <w:pStyle w:val="24"/>
              <w:spacing w:before="12"/>
              <w:jc w:val="left"/>
              <w:rPr>
                <w:rFonts w:hint="default" w:ascii="Times New Roman" w:hAnsi="Times New Roman" w:eastAsia="仿宋" w:cs="Times New Roman"/>
                <w:b/>
                <w:color w:val="auto"/>
                <w:sz w:val="22"/>
                <w:highlight w:val="none"/>
              </w:rPr>
            </w:pPr>
          </w:p>
          <w:p>
            <w:pPr>
              <w:pStyle w:val="24"/>
              <w:ind w:left="436" w:right="429"/>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20</w:t>
            </w:r>
          </w:p>
        </w:tc>
        <w:tc>
          <w:tcPr>
            <w:tcW w:w="1134" w:type="dxa"/>
          </w:tcPr>
          <w:p>
            <w:pPr>
              <w:pStyle w:val="24"/>
              <w:spacing w:before="12"/>
              <w:jc w:val="left"/>
              <w:rPr>
                <w:rFonts w:hint="default" w:ascii="Times New Roman" w:hAnsi="Times New Roman" w:eastAsia="仿宋" w:cs="Times New Roman"/>
                <w:b/>
                <w:color w:val="auto"/>
                <w:sz w:val="22"/>
                <w:highlight w:val="none"/>
              </w:rPr>
            </w:pPr>
          </w:p>
          <w:p>
            <w:pPr>
              <w:pStyle w:val="24"/>
              <w:ind w:right="436"/>
              <w:jc w:val="right"/>
              <w:rPr>
                <w:rFonts w:hint="default" w:ascii="Times New Roman" w:hAnsi="Times New Roman" w:eastAsia="仿宋" w:cs="Times New Roman"/>
                <w:color w:val="auto"/>
                <w:sz w:val="24"/>
                <w:highlight w:val="none"/>
                <w:lang w:val="en-US" w:eastAsia="zh-CN"/>
              </w:rPr>
            </w:pPr>
            <w:r>
              <w:rPr>
                <w:rFonts w:hint="default" w:ascii="Times New Roman" w:hAnsi="Times New Roman" w:eastAsia="仿宋" w:cs="Times New Roman"/>
                <w:color w:val="auto"/>
                <w:sz w:val="24"/>
                <w:highlight w:val="none"/>
              </w:rPr>
              <w:t>1</w:t>
            </w:r>
            <w:r>
              <w:rPr>
                <w:rFonts w:hint="default" w:ascii="Times New Roman" w:hAnsi="Times New Roman" w:eastAsia="仿宋" w:cs="Times New Roman"/>
                <w:color w:val="auto"/>
                <w:sz w:val="24"/>
                <w:highlight w:val="none"/>
                <w:lang w:val="en-US" w:eastAsia="zh-CN"/>
              </w:rPr>
              <w:t>8</w:t>
            </w:r>
          </w:p>
        </w:tc>
        <w:tc>
          <w:tcPr>
            <w:tcW w:w="4394" w:type="dxa"/>
          </w:tcPr>
          <w:p>
            <w:pPr>
              <w:pStyle w:val="24"/>
              <w:spacing w:before="3"/>
              <w:jc w:val="left"/>
              <w:rPr>
                <w:rFonts w:hint="default" w:ascii="Times New Roman" w:hAnsi="Times New Roman" w:eastAsia="仿宋" w:cs="Times New Roman"/>
                <w:b/>
                <w:color w:val="auto"/>
                <w:sz w:val="21"/>
                <w:highlight w:val="none"/>
              </w:rPr>
            </w:pPr>
          </w:p>
          <w:p>
            <w:pPr>
              <w:pStyle w:val="24"/>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措施基本到位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1134" w:type="dxa"/>
            <w:vMerge w:val="continue"/>
            <w:tcBorders>
              <w:top w:val="nil"/>
            </w:tcBorders>
          </w:tcPr>
          <w:p>
            <w:pPr>
              <w:rPr>
                <w:rFonts w:hint="default" w:ascii="Times New Roman" w:hAnsi="Times New Roman" w:eastAsia="仿宋" w:cs="Times New Roman"/>
                <w:color w:val="auto"/>
                <w:sz w:val="2"/>
                <w:szCs w:val="2"/>
                <w:highlight w:val="none"/>
              </w:rPr>
            </w:pPr>
          </w:p>
        </w:tc>
        <w:tc>
          <w:tcPr>
            <w:tcW w:w="1702" w:type="dxa"/>
          </w:tcPr>
          <w:p>
            <w:pPr>
              <w:pStyle w:val="24"/>
              <w:spacing w:before="1"/>
              <w:jc w:val="left"/>
              <w:rPr>
                <w:rFonts w:hint="default" w:ascii="Times New Roman" w:hAnsi="Times New Roman" w:eastAsia="仿宋" w:cs="Times New Roman"/>
                <w:b/>
                <w:color w:val="auto"/>
                <w:sz w:val="21"/>
                <w:highlight w:val="none"/>
              </w:rPr>
            </w:pPr>
          </w:p>
          <w:p>
            <w:pPr>
              <w:pStyle w:val="24"/>
              <w:spacing w:before="1"/>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植物措施</w:t>
            </w:r>
          </w:p>
        </w:tc>
        <w:tc>
          <w:tcPr>
            <w:tcW w:w="1276" w:type="dxa"/>
          </w:tcPr>
          <w:p>
            <w:pPr>
              <w:pStyle w:val="24"/>
              <w:spacing w:before="11"/>
              <w:jc w:val="left"/>
              <w:rPr>
                <w:rFonts w:hint="default" w:ascii="Times New Roman" w:hAnsi="Times New Roman" w:eastAsia="仿宋" w:cs="Times New Roman"/>
                <w:b/>
                <w:color w:val="auto"/>
                <w:sz w:val="22"/>
                <w:highlight w:val="none"/>
              </w:rPr>
            </w:pPr>
          </w:p>
          <w:p>
            <w:pPr>
              <w:pStyle w:val="24"/>
              <w:ind w:left="436" w:right="429"/>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15</w:t>
            </w:r>
          </w:p>
        </w:tc>
        <w:tc>
          <w:tcPr>
            <w:tcW w:w="1134" w:type="dxa"/>
          </w:tcPr>
          <w:p>
            <w:pPr>
              <w:pStyle w:val="24"/>
              <w:spacing w:before="11"/>
              <w:jc w:val="left"/>
              <w:rPr>
                <w:rFonts w:hint="default" w:ascii="Times New Roman" w:hAnsi="Times New Roman" w:eastAsia="仿宋" w:cs="Times New Roman"/>
                <w:b/>
                <w:color w:val="auto"/>
                <w:sz w:val="22"/>
                <w:highlight w:val="none"/>
              </w:rPr>
            </w:pPr>
          </w:p>
          <w:p>
            <w:pPr>
              <w:pStyle w:val="24"/>
              <w:ind w:right="436"/>
              <w:jc w:val="righ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13</w:t>
            </w:r>
          </w:p>
        </w:tc>
        <w:tc>
          <w:tcPr>
            <w:tcW w:w="4394" w:type="dxa"/>
          </w:tcPr>
          <w:p>
            <w:pPr>
              <w:pStyle w:val="24"/>
              <w:spacing w:before="1"/>
              <w:jc w:val="left"/>
              <w:rPr>
                <w:rFonts w:hint="default" w:ascii="Times New Roman" w:hAnsi="Times New Roman" w:eastAsia="仿宋" w:cs="Times New Roman"/>
                <w:b/>
                <w:color w:val="auto"/>
                <w:sz w:val="21"/>
                <w:highlight w:val="none"/>
              </w:rPr>
            </w:pPr>
          </w:p>
          <w:p>
            <w:pPr>
              <w:pStyle w:val="24"/>
              <w:spacing w:before="1"/>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措施基本到位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jc w:val="center"/>
        </w:trPr>
        <w:tc>
          <w:tcPr>
            <w:tcW w:w="1134" w:type="dxa"/>
            <w:vMerge w:val="continue"/>
            <w:tcBorders>
              <w:top w:val="nil"/>
            </w:tcBorders>
          </w:tcPr>
          <w:p>
            <w:pPr>
              <w:rPr>
                <w:rFonts w:hint="default" w:ascii="Times New Roman" w:hAnsi="Times New Roman" w:eastAsia="仿宋" w:cs="Times New Roman"/>
                <w:color w:val="auto"/>
                <w:sz w:val="2"/>
                <w:szCs w:val="2"/>
                <w:highlight w:val="none"/>
              </w:rPr>
            </w:pPr>
          </w:p>
        </w:tc>
        <w:tc>
          <w:tcPr>
            <w:tcW w:w="1702" w:type="dxa"/>
          </w:tcPr>
          <w:p>
            <w:pPr>
              <w:pStyle w:val="24"/>
              <w:spacing w:before="3"/>
              <w:jc w:val="left"/>
              <w:rPr>
                <w:rFonts w:hint="default" w:ascii="Times New Roman" w:hAnsi="Times New Roman" w:eastAsia="仿宋" w:cs="Times New Roman"/>
                <w:b/>
                <w:color w:val="auto"/>
                <w:sz w:val="21"/>
                <w:highlight w:val="none"/>
              </w:rPr>
            </w:pPr>
          </w:p>
          <w:p>
            <w:pPr>
              <w:pStyle w:val="24"/>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临时措施</w:t>
            </w:r>
          </w:p>
        </w:tc>
        <w:tc>
          <w:tcPr>
            <w:tcW w:w="1276" w:type="dxa"/>
          </w:tcPr>
          <w:p>
            <w:pPr>
              <w:pStyle w:val="24"/>
              <w:spacing w:before="12"/>
              <w:jc w:val="left"/>
              <w:rPr>
                <w:rFonts w:hint="default" w:ascii="Times New Roman" w:hAnsi="Times New Roman" w:eastAsia="仿宋" w:cs="Times New Roman"/>
                <w:b/>
                <w:color w:val="auto"/>
                <w:sz w:val="22"/>
                <w:highlight w:val="none"/>
              </w:rPr>
            </w:pPr>
          </w:p>
          <w:p>
            <w:pPr>
              <w:pStyle w:val="24"/>
              <w:ind w:left="436" w:right="429"/>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10</w:t>
            </w:r>
          </w:p>
        </w:tc>
        <w:tc>
          <w:tcPr>
            <w:tcW w:w="1134" w:type="dxa"/>
          </w:tcPr>
          <w:p>
            <w:pPr>
              <w:pStyle w:val="24"/>
              <w:spacing w:before="12"/>
              <w:jc w:val="left"/>
              <w:rPr>
                <w:rFonts w:hint="default" w:ascii="Times New Roman" w:hAnsi="Times New Roman" w:eastAsia="仿宋" w:cs="Times New Roman"/>
                <w:b/>
                <w:color w:val="auto"/>
                <w:sz w:val="22"/>
                <w:highlight w:val="none"/>
              </w:rPr>
            </w:pPr>
          </w:p>
          <w:p>
            <w:pPr>
              <w:pStyle w:val="24"/>
              <w:ind w:left="6"/>
              <w:rPr>
                <w:rFonts w:hint="default" w:ascii="Times New Roman" w:hAnsi="Times New Roman" w:eastAsia="仿宋" w:cs="Times New Roman"/>
                <w:color w:val="auto"/>
                <w:sz w:val="24"/>
                <w:highlight w:val="none"/>
                <w:lang w:val="en-US" w:eastAsia="zh-CN"/>
              </w:rPr>
            </w:pPr>
            <w:r>
              <w:rPr>
                <w:rFonts w:hint="default" w:ascii="Times New Roman" w:hAnsi="Times New Roman" w:eastAsia="仿宋" w:cs="Times New Roman"/>
                <w:color w:val="auto"/>
                <w:sz w:val="24"/>
                <w:highlight w:val="none"/>
                <w:lang w:val="en-US" w:eastAsia="zh-CN"/>
              </w:rPr>
              <w:t>9</w:t>
            </w:r>
          </w:p>
        </w:tc>
        <w:tc>
          <w:tcPr>
            <w:tcW w:w="4394" w:type="dxa"/>
          </w:tcPr>
          <w:p>
            <w:pPr>
              <w:pStyle w:val="24"/>
              <w:spacing w:before="3"/>
              <w:jc w:val="left"/>
              <w:rPr>
                <w:rFonts w:hint="default" w:ascii="Times New Roman" w:hAnsi="Times New Roman" w:eastAsia="仿宋" w:cs="Times New Roman"/>
                <w:b/>
                <w:color w:val="auto"/>
                <w:sz w:val="21"/>
                <w:highlight w:val="none"/>
              </w:rPr>
            </w:pPr>
          </w:p>
          <w:p>
            <w:pPr>
              <w:pStyle w:val="24"/>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措施基本到位</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0" w:hRule="atLeast"/>
          <w:jc w:val="center"/>
        </w:trPr>
        <w:tc>
          <w:tcPr>
            <w:tcW w:w="1134" w:type="dxa"/>
            <w:vMerge w:val="continue"/>
            <w:tcBorders>
              <w:top w:val="nil"/>
            </w:tcBorders>
          </w:tcPr>
          <w:p>
            <w:pPr>
              <w:rPr>
                <w:rFonts w:hint="default" w:ascii="Times New Roman" w:hAnsi="Times New Roman" w:eastAsia="仿宋" w:cs="Times New Roman"/>
                <w:color w:val="auto"/>
                <w:sz w:val="2"/>
                <w:szCs w:val="2"/>
                <w:highlight w:val="none"/>
              </w:rPr>
            </w:pPr>
          </w:p>
        </w:tc>
        <w:tc>
          <w:tcPr>
            <w:tcW w:w="1702" w:type="dxa"/>
          </w:tcPr>
          <w:p>
            <w:pPr>
              <w:pStyle w:val="24"/>
              <w:spacing w:before="1"/>
              <w:jc w:val="left"/>
              <w:rPr>
                <w:rFonts w:hint="default" w:ascii="Times New Roman" w:hAnsi="Times New Roman" w:eastAsia="仿宋" w:cs="Times New Roman"/>
                <w:b/>
                <w:color w:val="auto"/>
                <w:sz w:val="21"/>
                <w:highlight w:val="none"/>
              </w:rPr>
            </w:pPr>
          </w:p>
          <w:p>
            <w:pPr>
              <w:pStyle w:val="24"/>
              <w:spacing w:before="1"/>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水土流失危害</w:t>
            </w:r>
          </w:p>
        </w:tc>
        <w:tc>
          <w:tcPr>
            <w:tcW w:w="1276" w:type="dxa"/>
          </w:tcPr>
          <w:p>
            <w:pPr>
              <w:pStyle w:val="24"/>
              <w:spacing w:before="11"/>
              <w:jc w:val="left"/>
              <w:rPr>
                <w:rFonts w:hint="default" w:ascii="Times New Roman" w:hAnsi="Times New Roman" w:eastAsia="仿宋" w:cs="Times New Roman"/>
                <w:b/>
                <w:color w:val="auto"/>
                <w:sz w:val="22"/>
                <w:highlight w:val="none"/>
              </w:rPr>
            </w:pPr>
          </w:p>
          <w:p>
            <w:pPr>
              <w:pStyle w:val="24"/>
              <w:ind w:left="7"/>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5</w:t>
            </w:r>
          </w:p>
        </w:tc>
        <w:tc>
          <w:tcPr>
            <w:tcW w:w="1134" w:type="dxa"/>
          </w:tcPr>
          <w:p>
            <w:pPr>
              <w:pStyle w:val="24"/>
              <w:spacing w:before="11"/>
              <w:jc w:val="left"/>
              <w:rPr>
                <w:rFonts w:hint="default" w:ascii="Times New Roman" w:hAnsi="Times New Roman" w:eastAsia="仿宋" w:cs="Times New Roman"/>
                <w:b/>
                <w:color w:val="auto"/>
                <w:sz w:val="22"/>
                <w:highlight w:val="none"/>
              </w:rPr>
            </w:pPr>
          </w:p>
          <w:p>
            <w:pPr>
              <w:pStyle w:val="24"/>
              <w:ind w:left="6"/>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5</w:t>
            </w:r>
          </w:p>
        </w:tc>
        <w:tc>
          <w:tcPr>
            <w:tcW w:w="4394" w:type="dxa"/>
          </w:tcPr>
          <w:p>
            <w:pPr>
              <w:pStyle w:val="24"/>
              <w:spacing w:before="7"/>
              <w:jc w:val="left"/>
              <w:rPr>
                <w:rFonts w:hint="default" w:ascii="Times New Roman" w:hAnsi="Times New Roman" w:eastAsia="仿宋" w:cs="Times New Roman"/>
                <w:b/>
                <w:color w:val="auto"/>
                <w:sz w:val="21"/>
                <w:highlight w:val="none"/>
              </w:rPr>
            </w:pPr>
          </w:p>
          <w:p>
            <w:pPr>
              <w:pStyle w:val="24"/>
              <w:spacing w:before="1"/>
              <w:ind w:left="107"/>
              <w:jc w:val="left"/>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 xml:space="preserve"> </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1" w:hRule="atLeast"/>
          <w:jc w:val="center"/>
        </w:trPr>
        <w:tc>
          <w:tcPr>
            <w:tcW w:w="2836" w:type="dxa"/>
            <w:gridSpan w:val="2"/>
          </w:tcPr>
          <w:p>
            <w:pPr>
              <w:pStyle w:val="24"/>
              <w:spacing w:before="3"/>
              <w:jc w:val="left"/>
              <w:rPr>
                <w:rFonts w:hint="default" w:ascii="Times New Roman" w:hAnsi="Times New Roman" w:eastAsia="仿宋" w:cs="Times New Roman"/>
                <w:b/>
                <w:color w:val="auto"/>
                <w:sz w:val="21"/>
                <w:highlight w:val="none"/>
              </w:rPr>
            </w:pPr>
          </w:p>
          <w:p>
            <w:pPr>
              <w:pStyle w:val="24"/>
              <w:ind w:left="1157" w:right="1149"/>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合计</w:t>
            </w:r>
          </w:p>
        </w:tc>
        <w:tc>
          <w:tcPr>
            <w:tcW w:w="1276" w:type="dxa"/>
          </w:tcPr>
          <w:p>
            <w:pPr>
              <w:pStyle w:val="24"/>
              <w:spacing w:before="12"/>
              <w:jc w:val="left"/>
              <w:rPr>
                <w:rFonts w:hint="default" w:ascii="Times New Roman" w:hAnsi="Times New Roman" w:eastAsia="仿宋" w:cs="Times New Roman"/>
                <w:b/>
                <w:color w:val="auto"/>
                <w:sz w:val="22"/>
                <w:highlight w:val="none"/>
              </w:rPr>
            </w:pPr>
          </w:p>
          <w:p>
            <w:pPr>
              <w:pStyle w:val="24"/>
              <w:ind w:left="436" w:right="429"/>
              <w:rPr>
                <w:rFonts w:hint="default" w:ascii="Times New Roman" w:hAnsi="Times New Roman" w:eastAsia="仿宋" w:cs="Times New Roman"/>
                <w:color w:val="auto"/>
                <w:sz w:val="24"/>
                <w:highlight w:val="none"/>
              </w:rPr>
            </w:pPr>
            <w:r>
              <w:rPr>
                <w:rFonts w:hint="default" w:ascii="Times New Roman" w:hAnsi="Times New Roman" w:eastAsia="仿宋" w:cs="Times New Roman"/>
                <w:color w:val="auto"/>
                <w:sz w:val="24"/>
                <w:highlight w:val="none"/>
              </w:rPr>
              <w:t>100</w:t>
            </w:r>
          </w:p>
        </w:tc>
        <w:tc>
          <w:tcPr>
            <w:tcW w:w="1134" w:type="dxa"/>
          </w:tcPr>
          <w:p>
            <w:pPr>
              <w:pStyle w:val="24"/>
              <w:spacing w:before="12"/>
              <w:jc w:val="left"/>
              <w:rPr>
                <w:rFonts w:hint="default" w:ascii="Times New Roman" w:hAnsi="Times New Roman" w:eastAsia="仿宋" w:cs="Times New Roman"/>
                <w:b/>
                <w:color w:val="auto"/>
                <w:sz w:val="22"/>
                <w:highlight w:val="none"/>
              </w:rPr>
            </w:pPr>
          </w:p>
          <w:p>
            <w:pPr>
              <w:pStyle w:val="24"/>
              <w:ind w:right="436"/>
              <w:jc w:val="right"/>
              <w:rPr>
                <w:rFonts w:hint="default" w:ascii="Times New Roman" w:hAnsi="Times New Roman" w:eastAsia="仿宋" w:cs="Times New Roman"/>
                <w:color w:val="auto"/>
                <w:sz w:val="24"/>
                <w:highlight w:val="none"/>
                <w:lang w:val="en-US" w:eastAsia="zh-CN"/>
              </w:rPr>
            </w:pPr>
            <w:r>
              <w:rPr>
                <w:rFonts w:hint="default" w:ascii="Times New Roman" w:hAnsi="Times New Roman" w:eastAsia="仿宋" w:cs="Times New Roman"/>
                <w:color w:val="auto"/>
                <w:sz w:val="24"/>
                <w:highlight w:val="none"/>
                <w:lang w:val="en-US" w:eastAsia="zh-CN"/>
              </w:rPr>
              <w:t>93</w:t>
            </w:r>
          </w:p>
        </w:tc>
        <w:tc>
          <w:tcPr>
            <w:tcW w:w="4394" w:type="dxa"/>
          </w:tcPr>
          <w:p>
            <w:pPr>
              <w:pStyle w:val="24"/>
              <w:jc w:val="left"/>
              <w:rPr>
                <w:rFonts w:hint="default" w:ascii="Times New Roman" w:hAnsi="Times New Roman" w:eastAsia="仿宋" w:cs="Times New Roman"/>
                <w:color w:val="auto"/>
                <w:sz w:val="22"/>
                <w:highlight w:val="none"/>
              </w:rPr>
            </w:pPr>
          </w:p>
        </w:tc>
      </w:tr>
    </w:tbl>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水土保持批复</w:t>
      </w:r>
    </w:p>
    <w:p>
      <w:p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drawing>
          <wp:inline distT="0" distB="0" distL="114300" distR="114300">
            <wp:extent cx="5504180" cy="8110855"/>
            <wp:effectExtent l="0" t="0" r="1270" b="4445"/>
            <wp:docPr id="32" name="图片 32" descr="QQ图片20211223104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2" name="图片 32" descr="QQ图片20211223104830"/>
                    <pic:cNvPicPr>
                      <a:picLocks noChangeAspect="1"/>
                    </pic:cNvPicPr>
                  </pic:nvPicPr>
                  <pic:blipFill>
                    <a:blip r:embed="rId53"/>
                    <a:stretch>
                      <a:fillRect/>
                    </a:stretch>
                  </pic:blipFill>
                  <pic:spPr>
                    <a:xfrm>
                      <a:off x="0" y="0"/>
                      <a:ext cx="5504180" cy="8110855"/>
                    </a:xfrm>
                    <a:prstGeom prst="rect">
                      <a:avLst/>
                    </a:prstGeom>
                  </pic:spPr>
                </pic:pic>
              </a:graphicData>
            </a:graphic>
          </wp:inline>
        </w:drawing>
      </w:r>
    </w:p>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drawing>
          <wp:inline distT="0" distB="0" distL="114300" distR="114300">
            <wp:extent cx="5352415" cy="7924800"/>
            <wp:effectExtent l="0" t="0" r="635" b="0"/>
            <wp:docPr id="38" name="图片 38" descr="QQ图片20211223104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8" name="图片 38" descr="QQ图片20211223104851"/>
                    <pic:cNvPicPr>
                      <a:picLocks noChangeAspect="1"/>
                    </pic:cNvPicPr>
                  </pic:nvPicPr>
                  <pic:blipFill>
                    <a:blip r:embed="rId54"/>
                    <a:stretch>
                      <a:fillRect/>
                    </a:stretch>
                  </pic:blipFill>
                  <pic:spPr>
                    <a:xfrm>
                      <a:off x="0" y="0"/>
                      <a:ext cx="5352415" cy="7924800"/>
                    </a:xfrm>
                    <a:prstGeom prst="rect">
                      <a:avLst/>
                    </a:prstGeom>
                  </pic:spPr>
                </pic:pic>
              </a:graphicData>
            </a:graphic>
          </wp:inline>
        </w:drawing>
      </w:r>
    </w:p>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drawing>
          <wp:inline distT="0" distB="0" distL="114300" distR="114300">
            <wp:extent cx="5638165" cy="7581900"/>
            <wp:effectExtent l="0" t="0" r="635" b="0"/>
            <wp:docPr id="47" name="图片 47" descr="QQ图片20211223104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 name="图片 47" descr="QQ图片20211223104901"/>
                    <pic:cNvPicPr>
                      <a:picLocks noChangeAspect="1"/>
                    </pic:cNvPicPr>
                  </pic:nvPicPr>
                  <pic:blipFill>
                    <a:blip r:embed="rId55"/>
                    <a:stretch>
                      <a:fillRect/>
                    </a:stretch>
                  </pic:blipFill>
                  <pic:spPr>
                    <a:xfrm>
                      <a:off x="0" y="0"/>
                      <a:ext cx="5638165" cy="7581900"/>
                    </a:xfrm>
                    <a:prstGeom prst="rect">
                      <a:avLst/>
                    </a:prstGeom>
                  </pic:spPr>
                </pic:pic>
              </a:graphicData>
            </a:graphic>
          </wp:inline>
        </w:drawing>
      </w:r>
    </w:p>
    <w:p>
      <w:pPr>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drawing>
          <wp:inline distT="0" distB="0" distL="114300" distR="114300">
            <wp:extent cx="5838190" cy="8629650"/>
            <wp:effectExtent l="0" t="0" r="10160" b="0"/>
            <wp:docPr id="49" name="图片 49" descr="QQ图片20211223104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 name="图片 49" descr="QQ图片20211223104906"/>
                    <pic:cNvPicPr>
                      <a:picLocks noChangeAspect="1"/>
                    </pic:cNvPicPr>
                  </pic:nvPicPr>
                  <pic:blipFill>
                    <a:blip r:embed="rId56"/>
                    <a:stretch>
                      <a:fillRect/>
                    </a:stretch>
                  </pic:blipFill>
                  <pic:spPr>
                    <a:xfrm>
                      <a:off x="0" y="0"/>
                      <a:ext cx="5838190" cy="8629650"/>
                    </a:xfrm>
                    <a:prstGeom prst="rect">
                      <a:avLst/>
                    </a:prstGeom>
                  </pic:spPr>
                </pic:pic>
              </a:graphicData>
            </a:graphic>
          </wp:inline>
        </w:drawing>
      </w:r>
    </w:p>
    <w:p>
      <w:pPr>
        <w:pStyle w:val="3"/>
        <w:bidi w:val="0"/>
        <w:rPr>
          <w:rFonts w:hint="default" w:ascii="Times New Roman" w:hAnsi="Times New Roman" w:cs="Times New Roman"/>
          <w:color w:val="auto"/>
          <w:highlight w:val="none"/>
          <w:lang w:val="en-US" w:eastAsia="zh-CN"/>
        </w:rPr>
      </w:pPr>
      <w:bookmarkStart w:id="365" w:name="_Toc16640"/>
      <w:bookmarkStart w:id="366" w:name="_Toc30109"/>
      <w:r>
        <w:rPr>
          <w:rFonts w:hint="default" w:ascii="Times New Roman" w:hAnsi="Times New Roman" w:cs="Times New Roman"/>
          <w:color w:val="auto"/>
          <w:highlight w:val="none"/>
          <w:lang w:val="en-US" w:eastAsia="zh-CN"/>
        </w:rPr>
        <w:t>8.2 附图</w:t>
      </w:r>
      <w:bookmarkEnd w:id="365"/>
      <w:bookmarkEnd w:id="366"/>
    </w:p>
    <w:p>
      <w:pPr>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监测影像资料</w:t>
      </w:r>
    </w:p>
    <w:p>
      <w:pPr>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施工过程中</w:t>
      </w:r>
    </w:p>
    <w:p>
      <w:pPr>
        <w:bidi w:val="0"/>
        <w:rPr>
          <w:rFonts w:hint="default" w:ascii="Times New Roman" w:hAnsi="Times New Roman" w:cs="Times New Roman"/>
          <w:color w:val="auto"/>
          <w:highlight w:val="none"/>
          <w:lang w:val="en-US" w:eastAsia="zh-CN"/>
        </w:rPr>
      </w:pPr>
      <w:bookmarkStart w:id="367" w:name="_Toc8047"/>
      <w:r>
        <w:rPr>
          <w:rFonts w:hint="default" w:ascii="Times New Roman" w:hAnsi="Times New Roman" w:cs="Times New Roman"/>
          <w:color w:val="auto"/>
          <w:highlight w:val="none"/>
          <w:lang w:val="en-US" w:eastAsia="zh-CN"/>
        </w:rPr>
        <w:drawing>
          <wp:inline distT="0" distB="0" distL="114300" distR="114300">
            <wp:extent cx="2361565" cy="2177415"/>
            <wp:effectExtent l="0" t="0" r="635" b="13335"/>
            <wp:docPr id="51" name="图片 51" descr="微信图片_20211227142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微信图片_20211227142845"/>
                    <pic:cNvPicPr>
                      <a:picLocks noChangeAspect="1"/>
                    </pic:cNvPicPr>
                  </pic:nvPicPr>
                  <pic:blipFill>
                    <a:blip r:embed="rId57"/>
                    <a:stretch>
                      <a:fillRect/>
                    </a:stretch>
                  </pic:blipFill>
                  <pic:spPr>
                    <a:xfrm>
                      <a:off x="0" y="0"/>
                      <a:ext cx="2361565" cy="2177415"/>
                    </a:xfrm>
                    <a:prstGeom prst="rect">
                      <a:avLst/>
                    </a:prstGeom>
                  </pic:spPr>
                </pic:pic>
              </a:graphicData>
            </a:graphic>
          </wp:inline>
        </w:drawing>
      </w:r>
      <w:r>
        <w:rPr>
          <w:rFonts w:hint="default" w:ascii="Times New Roman" w:hAnsi="Times New Roman" w:cs="Times New Roman"/>
          <w:color w:val="auto"/>
          <w:highlight w:val="none"/>
          <w:lang w:val="en-US" w:eastAsia="zh-CN"/>
        </w:rPr>
        <w:t xml:space="preserve">    </w:t>
      </w:r>
      <w:bookmarkEnd w:id="367"/>
      <w:r>
        <w:rPr>
          <w:rFonts w:hint="default" w:ascii="Times New Roman" w:hAnsi="Times New Roman" w:cs="Times New Roman"/>
          <w:color w:val="auto"/>
          <w:highlight w:val="none"/>
          <w:lang w:val="en-US" w:eastAsia="zh-CN"/>
        </w:rPr>
        <w:drawing>
          <wp:inline distT="0" distB="0" distL="114300" distR="114300">
            <wp:extent cx="2322830" cy="2101215"/>
            <wp:effectExtent l="0" t="0" r="1270" b="13335"/>
            <wp:docPr id="52" name="图片 52" descr="微信图片_20211227142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 name="图片 52" descr="微信图片_20211227142926"/>
                    <pic:cNvPicPr>
                      <a:picLocks noChangeAspect="1"/>
                    </pic:cNvPicPr>
                  </pic:nvPicPr>
                  <pic:blipFill>
                    <a:blip r:embed="rId58"/>
                    <a:stretch>
                      <a:fillRect/>
                    </a:stretch>
                  </pic:blipFill>
                  <pic:spPr>
                    <a:xfrm>
                      <a:off x="0" y="0"/>
                      <a:ext cx="2322830" cy="2101215"/>
                    </a:xfrm>
                    <a:prstGeom prst="rect">
                      <a:avLst/>
                    </a:prstGeom>
                  </pic:spPr>
                </pic:pic>
              </a:graphicData>
            </a:graphic>
          </wp:inline>
        </w:drawing>
      </w: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bookmarkStart w:id="368" w:name="_Toc6695"/>
      <w:r>
        <w:rPr>
          <w:rFonts w:hint="default" w:ascii="Times New Roman" w:hAnsi="Times New Roman" w:cs="Times New Roman"/>
          <w:color w:val="auto"/>
          <w:highlight w:val="none"/>
          <w:lang w:val="en-US" w:eastAsia="zh-CN"/>
        </w:rPr>
        <w:drawing>
          <wp:inline distT="0" distB="0" distL="114300" distR="114300">
            <wp:extent cx="2305050" cy="2315845"/>
            <wp:effectExtent l="0" t="0" r="0" b="8255"/>
            <wp:docPr id="56" name="图片 56" descr="微信图片_20211227142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6" name="图片 56" descr="微信图片_20211227142854"/>
                    <pic:cNvPicPr>
                      <a:picLocks noChangeAspect="1"/>
                    </pic:cNvPicPr>
                  </pic:nvPicPr>
                  <pic:blipFill>
                    <a:blip r:embed="rId45"/>
                    <a:stretch>
                      <a:fillRect/>
                    </a:stretch>
                  </pic:blipFill>
                  <pic:spPr>
                    <a:xfrm>
                      <a:off x="0" y="0"/>
                      <a:ext cx="2305050" cy="2315845"/>
                    </a:xfrm>
                    <a:prstGeom prst="rect">
                      <a:avLst/>
                    </a:prstGeom>
                  </pic:spPr>
                </pic:pic>
              </a:graphicData>
            </a:graphic>
          </wp:inline>
        </w:drawing>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eastAsia="zh-CN"/>
        </w:rPr>
        <w:drawing>
          <wp:inline distT="0" distB="0" distL="114300" distR="114300">
            <wp:extent cx="2528570" cy="2324100"/>
            <wp:effectExtent l="0" t="0" r="5080" b="0"/>
            <wp:docPr id="57" name="图片 57" descr="微信图片_20211227142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descr="微信图片_20211227142901"/>
                    <pic:cNvPicPr>
                      <a:picLocks noChangeAspect="1"/>
                    </pic:cNvPicPr>
                  </pic:nvPicPr>
                  <pic:blipFill>
                    <a:blip r:embed="rId46"/>
                    <a:stretch>
                      <a:fillRect/>
                    </a:stretch>
                  </pic:blipFill>
                  <pic:spPr>
                    <a:xfrm>
                      <a:off x="0" y="0"/>
                      <a:ext cx="2528570" cy="2324100"/>
                    </a:xfrm>
                    <a:prstGeom prst="rect">
                      <a:avLst/>
                    </a:prstGeom>
                  </pic:spPr>
                </pic:pic>
              </a:graphicData>
            </a:graphic>
          </wp:inline>
        </w:drawing>
      </w:r>
      <w:bookmarkEnd w:id="368"/>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bookmarkStart w:id="369" w:name="_Toc22741"/>
      <w:r>
        <w:rPr>
          <w:rFonts w:hint="default" w:ascii="Times New Roman" w:hAnsi="Times New Roman" w:cs="Times New Roman"/>
          <w:color w:val="auto"/>
          <w:highlight w:val="none"/>
          <w:lang w:val="en-US" w:eastAsia="zh-CN"/>
        </w:rPr>
        <w:drawing>
          <wp:inline distT="0" distB="0" distL="114300" distR="114300">
            <wp:extent cx="2386330" cy="2235835"/>
            <wp:effectExtent l="0" t="0" r="13970" b="12065"/>
            <wp:docPr id="58" name="图片 58" descr="微信图片_20211227142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 name="图片 58" descr="微信图片_20211227142915"/>
                    <pic:cNvPicPr>
                      <a:picLocks noChangeAspect="1"/>
                    </pic:cNvPicPr>
                  </pic:nvPicPr>
                  <pic:blipFill>
                    <a:blip r:embed="rId59"/>
                    <a:stretch>
                      <a:fillRect/>
                    </a:stretch>
                  </pic:blipFill>
                  <pic:spPr>
                    <a:xfrm>
                      <a:off x="0" y="0"/>
                      <a:ext cx="2386330" cy="2235835"/>
                    </a:xfrm>
                    <a:prstGeom prst="rect">
                      <a:avLst/>
                    </a:prstGeom>
                  </pic:spPr>
                </pic:pic>
              </a:graphicData>
            </a:graphic>
          </wp:inline>
        </w:drawing>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lang w:val="en-US" w:eastAsia="zh-CN"/>
        </w:rPr>
        <w:drawing>
          <wp:inline distT="0" distB="0" distL="114300" distR="114300">
            <wp:extent cx="2446655" cy="2150110"/>
            <wp:effectExtent l="0" t="0" r="10795" b="2540"/>
            <wp:docPr id="59" name="图片 59" descr="微信图片_20211227142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descr="微信图片_20211227142918"/>
                    <pic:cNvPicPr>
                      <a:picLocks noChangeAspect="1"/>
                    </pic:cNvPicPr>
                  </pic:nvPicPr>
                  <pic:blipFill>
                    <a:blip r:embed="rId60"/>
                    <a:stretch>
                      <a:fillRect/>
                    </a:stretch>
                  </pic:blipFill>
                  <pic:spPr>
                    <a:xfrm>
                      <a:off x="0" y="0"/>
                      <a:ext cx="2446655" cy="2150110"/>
                    </a:xfrm>
                    <a:prstGeom prst="rect">
                      <a:avLst/>
                    </a:prstGeom>
                  </pic:spPr>
                </pic:pic>
              </a:graphicData>
            </a:graphic>
          </wp:inline>
        </w:drawing>
      </w:r>
      <w:bookmarkEnd w:id="369"/>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监测影像资料</w:t>
      </w:r>
    </w:p>
    <w:p>
      <w:pPr>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完工后</w:t>
      </w:r>
    </w:p>
    <w:p>
      <w:pPr>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drawing>
          <wp:inline distT="0" distB="0" distL="114300" distR="114300">
            <wp:extent cx="2496820" cy="2266315"/>
            <wp:effectExtent l="0" t="0" r="17780" b="635"/>
            <wp:docPr id="6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 name="图片 1" descr="IMG_256"/>
                    <pic:cNvPicPr>
                      <a:picLocks noChangeAspect="1"/>
                    </pic:cNvPicPr>
                  </pic:nvPicPr>
                  <pic:blipFill>
                    <a:blip r:embed="rId61"/>
                    <a:stretch>
                      <a:fillRect/>
                    </a:stretch>
                  </pic:blipFill>
                  <pic:spPr>
                    <a:xfrm>
                      <a:off x="0" y="0"/>
                      <a:ext cx="2496820" cy="2266315"/>
                    </a:xfrm>
                    <a:prstGeom prst="rect">
                      <a:avLst/>
                    </a:prstGeom>
                    <a:noFill/>
                    <a:ln w="9525">
                      <a:noFill/>
                    </a:ln>
                  </pic:spPr>
                </pic:pic>
              </a:graphicData>
            </a:graphic>
          </wp:inline>
        </w:drawing>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drawing>
          <wp:inline distT="0" distB="0" distL="114300" distR="114300">
            <wp:extent cx="2155825" cy="2188845"/>
            <wp:effectExtent l="0" t="0" r="15875" b="1905"/>
            <wp:docPr id="6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2" descr="IMG_256"/>
                    <pic:cNvPicPr>
                      <a:picLocks noChangeAspect="1"/>
                    </pic:cNvPicPr>
                  </pic:nvPicPr>
                  <pic:blipFill>
                    <a:blip r:embed="rId62"/>
                    <a:stretch>
                      <a:fillRect/>
                    </a:stretch>
                  </pic:blipFill>
                  <pic:spPr>
                    <a:xfrm>
                      <a:off x="0" y="0"/>
                      <a:ext cx="2155825" cy="2188845"/>
                    </a:xfrm>
                    <a:prstGeom prst="rect">
                      <a:avLst/>
                    </a:prstGeom>
                    <a:noFill/>
                    <a:ln w="9525">
                      <a:noFill/>
                    </a:ln>
                  </pic:spPr>
                </pic:pic>
              </a:graphicData>
            </a:graphic>
          </wp:inline>
        </w:drawing>
      </w:r>
    </w:p>
    <w:p>
      <w:pPr>
        <w:bidi w:val="0"/>
        <w:rPr>
          <w:rFonts w:hint="default" w:ascii="Times New Roman" w:hAnsi="Times New Roman" w:cs="Times New Roman"/>
          <w:color w:val="auto"/>
          <w:highlight w:val="none"/>
        </w:rPr>
      </w:pPr>
    </w:p>
    <w:p>
      <w:pPr>
        <w:bidi w:val="0"/>
        <w:rPr>
          <w:rFonts w:hint="default" w:ascii="Times New Roman" w:hAnsi="Times New Roman" w:cs="Times New Roman"/>
          <w:color w:val="auto"/>
          <w:highlight w:val="none"/>
          <w:lang w:val="en-US" w:eastAsia="zh-CN"/>
        </w:rPr>
      </w:pPr>
      <w:bookmarkStart w:id="370" w:name="_Toc13306"/>
      <w:r>
        <w:rPr>
          <w:rFonts w:hint="default" w:ascii="Times New Roman" w:hAnsi="Times New Roman" w:cs="Times New Roman"/>
          <w:color w:val="auto"/>
          <w:highlight w:val="none"/>
        </w:rPr>
        <w:drawing>
          <wp:inline distT="0" distB="0" distL="114300" distR="114300">
            <wp:extent cx="2484755" cy="2330450"/>
            <wp:effectExtent l="0" t="0" r="10795" b="12700"/>
            <wp:docPr id="62"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3" descr="IMG_256"/>
                    <pic:cNvPicPr>
                      <a:picLocks noChangeAspect="1"/>
                    </pic:cNvPicPr>
                  </pic:nvPicPr>
                  <pic:blipFill>
                    <a:blip r:embed="rId63"/>
                    <a:stretch>
                      <a:fillRect/>
                    </a:stretch>
                  </pic:blipFill>
                  <pic:spPr>
                    <a:xfrm>
                      <a:off x="0" y="0"/>
                      <a:ext cx="2484755" cy="2330450"/>
                    </a:xfrm>
                    <a:prstGeom prst="rect">
                      <a:avLst/>
                    </a:prstGeom>
                    <a:noFill/>
                    <a:ln w="9525">
                      <a:noFill/>
                    </a:ln>
                  </pic:spPr>
                </pic:pic>
              </a:graphicData>
            </a:graphic>
          </wp:inline>
        </w:drawing>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drawing>
          <wp:inline distT="0" distB="0" distL="114300" distR="114300">
            <wp:extent cx="2472690" cy="2409190"/>
            <wp:effectExtent l="0" t="0" r="3810" b="10160"/>
            <wp:docPr id="63"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3" name="图片 4" descr="IMG_256"/>
                    <pic:cNvPicPr>
                      <a:picLocks noChangeAspect="1"/>
                    </pic:cNvPicPr>
                  </pic:nvPicPr>
                  <pic:blipFill>
                    <a:blip r:embed="rId64"/>
                    <a:stretch>
                      <a:fillRect/>
                    </a:stretch>
                  </pic:blipFill>
                  <pic:spPr>
                    <a:xfrm>
                      <a:off x="0" y="0"/>
                      <a:ext cx="2472690" cy="2409190"/>
                    </a:xfrm>
                    <a:prstGeom prst="rect">
                      <a:avLst/>
                    </a:prstGeom>
                    <a:noFill/>
                    <a:ln w="9525">
                      <a:noFill/>
                    </a:ln>
                  </pic:spPr>
                </pic:pic>
              </a:graphicData>
            </a:graphic>
          </wp:inline>
        </w:drawing>
      </w:r>
      <w:bookmarkEnd w:id="370"/>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rPr>
      </w:pPr>
      <w:bookmarkStart w:id="371" w:name="_Toc12779"/>
      <w:r>
        <w:rPr>
          <w:rFonts w:hint="default" w:ascii="Times New Roman" w:hAnsi="Times New Roman" w:cs="Times New Roman"/>
          <w:color w:val="auto"/>
          <w:highlight w:val="none"/>
        </w:rPr>
        <w:drawing>
          <wp:inline distT="0" distB="0" distL="114300" distR="114300">
            <wp:extent cx="2442845" cy="2346960"/>
            <wp:effectExtent l="0" t="0" r="14605" b="15240"/>
            <wp:docPr id="64"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 name="图片 5" descr="IMG_256"/>
                    <pic:cNvPicPr>
                      <a:picLocks noChangeAspect="1"/>
                    </pic:cNvPicPr>
                  </pic:nvPicPr>
                  <pic:blipFill>
                    <a:blip r:embed="rId65"/>
                    <a:stretch>
                      <a:fillRect/>
                    </a:stretch>
                  </pic:blipFill>
                  <pic:spPr>
                    <a:xfrm>
                      <a:off x="0" y="0"/>
                      <a:ext cx="2442845" cy="2346960"/>
                    </a:xfrm>
                    <a:prstGeom prst="rect">
                      <a:avLst/>
                    </a:prstGeom>
                    <a:noFill/>
                    <a:ln w="9525">
                      <a:noFill/>
                    </a:ln>
                  </pic:spPr>
                </pic:pic>
              </a:graphicData>
            </a:graphic>
          </wp:inline>
        </w:drawing>
      </w:r>
      <w:r>
        <w:rPr>
          <w:rFonts w:hint="default" w:ascii="Times New Roman" w:hAnsi="Times New Roman" w:cs="Times New Roman"/>
          <w:color w:val="auto"/>
          <w:highlight w:val="none"/>
          <w:lang w:val="en-US" w:eastAsia="zh-CN"/>
        </w:rPr>
        <w:t xml:space="preserve">   </w:t>
      </w:r>
      <w:r>
        <w:rPr>
          <w:rFonts w:hint="default" w:ascii="Times New Roman" w:hAnsi="Times New Roman" w:cs="Times New Roman"/>
          <w:color w:val="auto"/>
          <w:highlight w:val="none"/>
        </w:rPr>
        <w:drawing>
          <wp:inline distT="0" distB="0" distL="114300" distR="114300">
            <wp:extent cx="2473960" cy="2280920"/>
            <wp:effectExtent l="0" t="0" r="2540" b="5080"/>
            <wp:docPr id="65"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5" name="图片 6" descr="IMG_256"/>
                    <pic:cNvPicPr>
                      <a:picLocks noChangeAspect="1"/>
                    </pic:cNvPicPr>
                  </pic:nvPicPr>
                  <pic:blipFill>
                    <a:blip r:embed="rId66"/>
                    <a:stretch>
                      <a:fillRect/>
                    </a:stretch>
                  </pic:blipFill>
                  <pic:spPr>
                    <a:xfrm>
                      <a:off x="0" y="0"/>
                      <a:ext cx="2473960" cy="2280920"/>
                    </a:xfrm>
                    <a:prstGeom prst="rect">
                      <a:avLst/>
                    </a:prstGeom>
                    <a:noFill/>
                    <a:ln w="9525">
                      <a:noFill/>
                    </a:ln>
                  </pic:spPr>
                </pic:pic>
              </a:graphicData>
            </a:graphic>
          </wp:inline>
        </w:drawing>
      </w:r>
      <w:bookmarkEnd w:id="371"/>
    </w:p>
    <w:p>
      <w:pPr>
        <w:rPr>
          <w:rFonts w:hint="default" w:ascii="Times New Roman" w:hAnsi="Times New Roman" w:cs="Times New Roman"/>
          <w:color w:val="auto"/>
          <w:highlight w:val="none"/>
        </w:rPr>
      </w:pPr>
      <w:r>
        <w:rPr>
          <w:rFonts w:hint="default" w:ascii="Times New Roman" w:hAnsi="Times New Roman" w:cs="Times New Roman"/>
          <w:color w:val="auto"/>
          <w:highlight w:val="none"/>
        </w:rPr>
        <w:br w:type="page"/>
      </w:r>
    </w:p>
    <w:p>
      <w:p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br w:type="page"/>
      </w:r>
    </w:p>
    <w:p>
      <w:pPr>
        <w:bidi w:val="0"/>
        <w:jc w:val="center"/>
        <w:rPr>
          <w:rFonts w:hint="default" w:ascii="Times New Roman" w:hAnsi="Times New Roman" w:cs="Times New Roman"/>
          <w:color w:val="auto"/>
          <w:sz w:val="32"/>
          <w:szCs w:val="32"/>
          <w:highlight w:val="none"/>
          <w:lang w:val="en-US" w:eastAsia="zh-CN"/>
        </w:rPr>
      </w:pPr>
      <w:r>
        <w:rPr>
          <w:rFonts w:hint="default" w:ascii="Times New Roman" w:hAnsi="Times New Roman" w:eastAsia="宋体" w:cs="Times New Roman"/>
          <w:b/>
          <w:bCs/>
          <w:color w:val="auto"/>
          <w:sz w:val="28"/>
          <w:szCs w:val="28"/>
          <w:highlight w:val="none"/>
          <w:lang w:val="en-US" w:eastAsia="zh-CN"/>
        </w:rPr>
        <w:t>华天路新建工程项目</w:t>
      </w:r>
    </w:p>
    <w:p>
      <w:pPr>
        <w:bidi w:val="0"/>
        <w:jc w:val="center"/>
        <w:rPr>
          <w:rFonts w:hint="default" w:ascii="Times New Roman" w:hAnsi="Times New Roman" w:eastAsia="黑体" w:cs="Times New Roman"/>
          <w:color w:val="auto"/>
          <w:sz w:val="72"/>
          <w:szCs w:val="72"/>
          <w:highlight w:val="none"/>
          <w:lang w:val="en-US" w:eastAsia="zh-CN"/>
        </w:rPr>
      </w:pPr>
      <w:r>
        <w:rPr>
          <w:rFonts w:hint="default" w:ascii="Times New Roman" w:hAnsi="Times New Roman" w:eastAsia="黑体" w:cs="Times New Roman"/>
          <w:color w:val="auto"/>
          <w:sz w:val="72"/>
          <w:szCs w:val="72"/>
          <w:highlight w:val="none"/>
          <w:lang w:val="en-US" w:eastAsia="zh-CN"/>
        </w:rPr>
        <w:t>水土保持监测验收报告</w:t>
      </w: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rPr>
          <w:rFonts w:hint="default" w:ascii="Times New Roman" w:hAnsi="Times New Roman" w:cs="Times New Roman"/>
          <w:color w:val="auto"/>
          <w:highlight w:val="none"/>
          <w:lang w:val="en-US" w:eastAsia="zh-CN"/>
        </w:rPr>
      </w:pPr>
    </w:p>
    <w:p>
      <w:pPr>
        <w:bidi w:val="0"/>
        <w:spacing w:line="360" w:lineRule="auto"/>
        <w:ind w:firstLine="1280" w:firstLineChars="400"/>
        <w:jc w:val="both"/>
        <w:rPr>
          <w:rFonts w:hint="default" w:ascii="Times New Roman" w:hAnsi="Times New Roman" w:eastAsia="宋体" w:cs="Times New Roman"/>
          <w:color w:val="auto"/>
          <w:sz w:val="32"/>
          <w:szCs w:val="32"/>
          <w:highlight w:val="none"/>
          <w:lang w:val="en-US" w:eastAsia="zh-CN"/>
        </w:rPr>
      </w:pPr>
      <w:r>
        <w:rPr>
          <w:rFonts w:hint="default" w:ascii="Times New Roman" w:hAnsi="Times New Roman" w:eastAsia="宋体" w:cs="Times New Roman"/>
          <w:color w:val="auto"/>
          <w:sz w:val="32"/>
          <w:szCs w:val="32"/>
          <w:highlight w:val="none"/>
          <w:lang w:val="en-US" w:eastAsia="zh-CN"/>
        </w:rPr>
        <w:t>建设单位：衡阳市城市建设投资有限公司</w:t>
      </w:r>
    </w:p>
    <w:p>
      <w:pPr>
        <w:bidi w:val="0"/>
        <w:spacing w:line="360" w:lineRule="auto"/>
        <w:ind w:firstLine="1280" w:firstLineChars="400"/>
        <w:jc w:val="both"/>
        <w:rPr>
          <w:rFonts w:hint="default" w:ascii="Times New Roman" w:hAnsi="Times New Roman" w:eastAsia="宋体" w:cs="Times New Roman"/>
          <w:color w:val="auto"/>
          <w:sz w:val="32"/>
          <w:szCs w:val="32"/>
          <w:highlight w:val="none"/>
          <w:lang w:val="en-US" w:eastAsia="zh-CN"/>
        </w:rPr>
      </w:pPr>
      <w:r>
        <w:rPr>
          <w:rFonts w:hint="default" w:ascii="Times New Roman" w:hAnsi="Times New Roman" w:eastAsia="宋体" w:cs="Times New Roman"/>
          <w:color w:val="auto"/>
          <w:sz w:val="32"/>
          <w:szCs w:val="32"/>
          <w:highlight w:val="none"/>
          <w:lang w:val="en-US" w:eastAsia="zh-CN"/>
        </w:rPr>
        <w:t>监测单位：湖南华意项目管理有限公司</w:t>
      </w:r>
    </w:p>
    <w:p>
      <w:pPr>
        <w:bidi w:val="0"/>
        <w:spacing w:line="360" w:lineRule="auto"/>
        <w:jc w:val="both"/>
        <w:rPr>
          <w:rFonts w:hint="default" w:ascii="Times New Roman" w:hAnsi="Times New Roman" w:eastAsia="宋体" w:cs="Times New Roman"/>
          <w:color w:val="auto"/>
          <w:sz w:val="32"/>
          <w:szCs w:val="32"/>
          <w:highlight w:val="none"/>
          <w:lang w:val="en-US" w:eastAsia="zh-CN"/>
        </w:rPr>
      </w:pPr>
    </w:p>
    <w:p>
      <w:pPr>
        <w:bidi w:val="0"/>
        <w:spacing w:line="360" w:lineRule="auto"/>
        <w:jc w:val="both"/>
        <w:rPr>
          <w:rFonts w:hint="default" w:ascii="Times New Roman" w:hAnsi="Times New Roman" w:eastAsia="宋体" w:cs="Times New Roman"/>
          <w:color w:val="auto"/>
          <w:sz w:val="32"/>
          <w:szCs w:val="32"/>
          <w:highlight w:val="none"/>
          <w:lang w:val="en-US" w:eastAsia="zh-CN"/>
        </w:rPr>
      </w:pPr>
    </w:p>
    <w:p>
      <w:pPr>
        <w:bidi w:val="0"/>
        <w:spacing w:line="360" w:lineRule="auto"/>
        <w:jc w:val="center"/>
        <w:rPr>
          <w:rFonts w:hint="default" w:ascii="Times New Roman" w:hAnsi="Times New Roman" w:eastAsia="宋体" w:cs="Times New Roman"/>
          <w:color w:val="auto"/>
          <w:sz w:val="32"/>
          <w:szCs w:val="32"/>
          <w:highlight w:val="none"/>
          <w:lang w:val="en-US" w:eastAsia="zh-CN"/>
        </w:rPr>
        <w:sectPr>
          <w:pgSz w:w="11906" w:h="16838"/>
          <w:pgMar w:top="1440" w:right="1440" w:bottom="1440" w:left="1440" w:header="851" w:footer="992" w:gutter="0"/>
          <w:pgBorders>
            <w:top w:val="none" w:sz="0" w:space="0"/>
            <w:left w:val="none" w:sz="0" w:space="0"/>
            <w:bottom w:val="none" w:sz="0" w:space="0"/>
            <w:right w:val="none" w:sz="0" w:space="0"/>
          </w:pgBorders>
          <w:pgNumType w:fmt="decimal"/>
          <w:cols w:space="425" w:num="1"/>
          <w:docGrid w:type="lines" w:linePitch="312" w:charSpace="0"/>
        </w:sectPr>
      </w:pPr>
      <w:r>
        <w:rPr>
          <w:rFonts w:hint="default" w:ascii="Times New Roman" w:hAnsi="Times New Roman" w:eastAsia="宋体" w:cs="Times New Roman"/>
          <w:color w:val="auto"/>
          <w:sz w:val="32"/>
          <w:szCs w:val="32"/>
          <w:highlight w:val="none"/>
          <w:lang w:val="en-US" w:eastAsia="zh-CN"/>
        </w:rPr>
        <w:t>2021年12月</w:t>
      </w:r>
    </w:p>
    <w:p>
      <w:pPr>
        <w:pStyle w:val="2"/>
        <w:bidi w:val="0"/>
        <w:spacing w:line="240" w:lineRule="auto"/>
        <w:jc w:val="center"/>
        <w:rPr>
          <w:rFonts w:hint="default" w:ascii="Times New Roman" w:hAnsi="Times New Roman" w:cs="Times New Roman"/>
          <w:color w:val="auto"/>
          <w:sz w:val="32"/>
          <w:szCs w:val="32"/>
          <w:highlight w:val="none"/>
          <w:lang w:val="en-US" w:eastAsia="zh-CN"/>
        </w:rPr>
      </w:pPr>
      <w:bookmarkStart w:id="372" w:name="_Toc10736"/>
      <w:bookmarkStart w:id="373" w:name="_Toc5598"/>
      <w:r>
        <w:rPr>
          <w:rFonts w:hint="default" w:ascii="Times New Roman" w:hAnsi="Times New Roman" w:cs="Times New Roman"/>
          <w:color w:val="auto"/>
          <w:sz w:val="32"/>
          <w:szCs w:val="32"/>
          <w:highlight w:val="none"/>
          <w:lang w:val="en-US" w:eastAsia="zh-CN"/>
        </w:rPr>
        <w:t>华天路新建工程项目水土保持监测</w:t>
      </w:r>
      <w:bookmarkEnd w:id="372"/>
      <w:bookmarkEnd w:id="373"/>
    </w:p>
    <w:p>
      <w:pPr>
        <w:pStyle w:val="2"/>
        <w:bidi w:val="0"/>
        <w:spacing w:line="240" w:lineRule="auto"/>
        <w:jc w:val="center"/>
        <w:rPr>
          <w:rFonts w:hint="default" w:ascii="Times New Roman" w:hAnsi="Times New Roman" w:cs="Times New Roman"/>
          <w:color w:val="auto"/>
          <w:sz w:val="32"/>
          <w:szCs w:val="32"/>
          <w:highlight w:val="none"/>
          <w:lang w:val="en-US" w:eastAsia="zh-CN"/>
        </w:rPr>
      </w:pPr>
      <w:bookmarkStart w:id="374" w:name="_Toc28413"/>
      <w:bookmarkStart w:id="375" w:name="_Toc27386"/>
      <w:r>
        <w:rPr>
          <w:rFonts w:hint="default" w:ascii="Times New Roman" w:hAnsi="Times New Roman" w:cs="Times New Roman"/>
          <w:color w:val="auto"/>
          <w:sz w:val="32"/>
          <w:szCs w:val="32"/>
          <w:highlight w:val="none"/>
          <w:lang w:val="en-US" w:eastAsia="zh-CN"/>
        </w:rPr>
        <w:t>责任页</w:t>
      </w:r>
      <w:bookmarkEnd w:id="374"/>
      <w:bookmarkEnd w:id="375"/>
    </w:p>
    <w:p>
      <w:pPr>
        <w:jc w:val="center"/>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（湖南华意项目管理有限公司）</w:t>
      </w:r>
    </w:p>
    <w:p>
      <w:pPr>
        <w:jc w:val="both"/>
        <w:rPr>
          <w:rFonts w:hint="default" w:ascii="Times New Roman" w:hAnsi="Times New Roman" w:cs="Times New Roman"/>
          <w:color w:val="auto"/>
          <w:sz w:val="32"/>
          <w:szCs w:val="32"/>
          <w:highlight w:val="none"/>
          <w:lang w:val="en-US" w:eastAsia="zh-CN"/>
        </w:rPr>
      </w:pPr>
    </w:p>
    <w:p>
      <w:pPr>
        <w:jc w:val="both"/>
        <w:rPr>
          <w:rFonts w:hint="default" w:ascii="Times New Roman" w:hAnsi="Times New Roman" w:cs="Times New Roman"/>
          <w:color w:val="auto"/>
          <w:sz w:val="32"/>
          <w:szCs w:val="32"/>
          <w:highlight w:val="none"/>
          <w:lang w:val="en-US" w:eastAsia="zh-CN"/>
        </w:rPr>
      </w:pPr>
    </w:p>
    <w:p>
      <w:pPr>
        <w:jc w:val="both"/>
        <w:rPr>
          <w:rFonts w:hint="default" w:ascii="Times New Roman" w:hAnsi="Times New Roman" w:cs="Times New Roman"/>
          <w:color w:val="auto"/>
          <w:sz w:val="32"/>
          <w:szCs w:val="32"/>
          <w:highlight w:val="none"/>
          <w:lang w:val="en-US" w:eastAsia="zh-CN"/>
        </w:rPr>
      </w:pPr>
    </w:p>
    <w:p>
      <w:pPr>
        <w:jc w:val="both"/>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批准：</w:t>
      </w:r>
      <w:r>
        <w:rPr>
          <w:rFonts w:hint="default" w:ascii="Times New Roman" w:hAnsi="Times New Roman" w:cs="Times New Roman"/>
          <w:color w:val="auto"/>
          <w:sz w:val="32"/>
          <w:szCs w:val="32"/>
          <w:highlight w:val="none"/>
          <w:lang w:val="en-US" w:eastAsia="zh-CN"/>
        </w:rPr>
        <w:drawing>
          <wp:inline distT="0" distB="0" distL="114300" distR="114300">
            <wp:extent cx="603885" cy="220345"/>
            <wp:effectExtent l="0" t="0" r="5715" b="8255"/>
            <wp:docPr id="66" name="图片 66" descr="莫俊华"/>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莫俊华"/>
                    <pic:cNvPicPr>
                      <a:picLocks noChangeAspect="1"/>
                    </pic:cNvPicPr>
                  </pic:nvPicPr>
                  <pic:blipFill>
                    <a:blip r:embed="rId36"/>
                    <a:stretch>
                      <a:fillRect/>
                    </a:stretch>
                  </pic:blipFill>
                  <pic:spPr>
                    <a:xfrm>
                      <a:off x="0" y="0"/>
                      <a:ext cx="603885" cy="220345"/>
                    </a:xfrm>
                    <a:prstGeom prst="rect">
                      <a:avLst/>
                    </a:prstGeom>
                  </pic:spPr>
                </pic:pic>
              </a:graphicData>
            </a:graphic>
          </wp:inline>
        </w:drawing>
      </w:r>
    </w:p>
    <w:p>
      <w:pPr>
        <w:jc w:val="both"/>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审查：</w:t>
      </w:r>
      <w:r>
        <w:rPr>
          <w:rFonts w:hint="default" w:ascii="Times New Roman" w:hAnsi="Times New Roman" w:cs="Times New Roman"/>
          <w:color w:val="auto"/>
          <w:sz w:val="32"/>
          <w:szCs w:val="32"/>
          <w:highlight w:val="none"/>
          <w:lang w:val="en-US" w:eastAsia="zh-CN"/>
        </w:rPr>
        <w:drawing>
          <wp:inline distT="0" distB="0" distL="114300" distR="114300">
            <wp:extent cx="570230" cy="247650"/>
            <wp:effectExtent l="0" t="0" r="1270" b="0"/>
            <wp:docPr id="67" name="图片 67" descr="秦佳伟"/>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7" name="图片 67" descr="秦佳伟"/>
                    <pic:cNvPicPr>
                      <a:picLocks noChangeAspect="1"/>
                    </pic:cNvPicPr>
                  </pic:nvPicPr>
                  <pic:blipFill>
                    <a:blip r:embed="rId37"/>
                    <a:stretch>
                      <a:fillRect/>
                    </a:stretch>
                  </pic:blipFill>
                  <pic:spPr>
                    <a:xfrm>
                      <a:off x="0" y="0"/>
                      <a:ext cx="570230" cy="247650"/>
                    </a:xfrm>
                    <a:prstGeom prst="rect">
                      <a:avLst/>
                    </a:prstGeom>
                  </pic:spPr>
                </pic:pic>
              </a:graphicData>
            </a:graphic>
          </wp:inline>
        </w:drawing>
      </w:r>
    </w:p>
    <w:p>
      <w:pPr>
        <w:jc w:val="both"/>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校核：</w:t>
      </w:r>
      <w:r>
        <w:rPr>
          <w:rFonts w:hint="default" w:ascii="Times New Roman" w:hAnsi="Times New Roman" w:cs="Times New Roman"/>
          <w:color w:val="auto"/>
          <w:sz w:val="32"/>
          <w:szCs w:val="32"/>
          <w:highlight w:val="none"/>
          <w:lang w:val="en-US" w:eastAsia="zh-CN"/>
        </w:rPr>
        <w:drawing>
          <wp:inline distT="0" distB="0" distL="114300" distR="114300">
            <wp:extent cx="557530" cy="278765"/>
            <wp:effectExtent l="0" t="0" r="13970" b="6985"/>
            <wp:docPr id="68" name="图片 68" descr="阳衡辉"/>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8" name="图片 68" descr="阳衡辉"/>
                    <pic:cNvPicPr>
                      <a:picLocks noChangeAspect="1"/>
                    </pic:cNvPicPr>
                  </pic:nvPicPr>
                  <pic:blipFill>
                    <a:blip r:embed="rId38"/>
                    <a:stretch>
                      <a:fillRect/>
                    </a:stretch>
                  </pic:blipFill>
                  <pic:spPr>
                    <a:xfrm>
                      <a:off x="0" y="0"/>
                      <a:ext cx="557530" cy="278765"/>
                    </a:xfrm>
                    <a:prstGeom prst="rect">
                      <a:avLst/>
                    </a:prstGeom>
                  </pic:spPr>
                </pic:pic>
              </a:graphicData>
            </a:graphic>
          </wp:inline>
        </w:drawing>
      </w:r>
    </w:p>
    <w:p>
      <w:pPr>
        <w:jc w:val="both"/>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项目负责人：</w:t>
      </w:r>
      <w:r>
        <w:rPr>
          <w:rFonts w:hint="default" w:ascii="Times New Roman" w:hAnsi="Times New Roman" w:cs="Times New Roman"/>
          <w:color w:val="auto"/>
          <w:sz w:val="32"/>
          <w:szCs w:val="32"/>
          <w:highlight w:val="none"/>
          <w:lang w:val="en-US" w:eastAsia="zh-CN"/>
        </w:rPr>
        <w:drawing>
          <wp:inline distT="0" distB="0" distL="114300" distR="114300">
            <wp:extent cx="788035" cy="278130"/>
            <wp:effectExtent l="0" t="0" r="12065" b="7620"/>
            <wp:docPr id="69" name="图片 69" descr="尹靖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 name="图片 69" descr="尹靖雯"/>
                    <pic:cNvPicPr>
                      <a:picLocks noChangeAspect="1"/>
                    </pic:cNvPicPr>
                  </pic:nvPicPr>
                  <pic:blipFill>
                    <a:blip r:embed="rId39"/>
                    <a:stretch>
                      <a:fillRect/>
                    </a:stretch>
                  </pic:blipFill>
                  <pic:spPr>
                    <a:xfrm>
                      <a:off x="0" y="0"/>
                      <a:ext cx="788035" cy="278130"/>
                    </a:xfrm>
                    <a:prstGeom prst="rect">
                      <a:avLst/>
                    </a:prstGeom>
                  </pic:spPr>
                </pic:pic>
              </a:graphicData>
            </a:graphic>
          </wp:inline>
        </w:drawing>
      </w:r>
    </w:p>
    <w:p>
      <w:pPr>
        <w:jc w:val="both"/>
        <w:rPr>
          <w:rFonts w:hint="default" w:ascii="Times New Roman" w:hAnsi="Times New Roman" w:cs="Times New Roman"/>
          <w:color w:val="auto"/>
          <w:sz w:val="32"/>
          <w:szCs w:val="32"/>
          <w:highlight w:val="none"/>
          <w:lang w:val="en-US" w:eastAsia="zh-CN"/>
        </w:rPr>
      </w:pPr>
      <w:r>
        <w:rPr>
          <w:rFonts w:hint="default" w:ascii="Times New Roman" w:hAnsi="Times New Roman" w:cs="Times New Roman"/>
          <w:color w:val="auto"/>
          <w:sz w:val="32"/>
          <w:szCs w:val="32"/>
          <w:highlight w:val="none"/>
          <w:lang w:val="en-US" w:eastAsia="zh-CN"/>
        </w:rPr>
        <w:t>编写：</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cs="Times New Roman"/>
                <w:color w:val="auto"/>
                <w:sz w:val="32"/>
                <w:szCs w:val="32"/>
                <w:highlight w:val="none"/>
                <w:vertAlign w:val="baseline"/>
                <w:lang w:val="en-US" w:eastAsia="zh-CN"/>
              </w:rPr>
              <w:t>姓名</w:t>
            </w:r>
          </w:p>
        </w:tc>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cs="Times New Roman"/>
                <w:color w:val="auto"/>
                <w:sz w:val="32"/>
                <w:szCs w:val="32"/>
                <w:highlight w:val="none"/>
                <w:vertAlign w:val="baseline"/>
                <w:lang w:val="en-US" w:eastAsia="zh-CN"/>
              </w:rPr>
              <w:t>职称</w:t>
            </w: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cs="Times New Roman"/>
                <w:color w:val="auto"/>
                <w:sz w:val="32"/>
                <w:szCs w:val="32"/>
                <w:highlight w:val="none"/>
                <w:vertAlign w:val="baseline"/>
                <w:lang w:val="en-US" w:eastAsia="zh-CN"/>
              </w:rPr>
              <w:t>分工</w:t>
            </w: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cs="Times New Roman"/>
                <w:color w:val="auto"/>
                <w:sz w:val="32"/>
                <w:szCs w:val="32"/>
                <w:highlight w:val="none"/>
                <w:vertAlign w:val="baseline"/>
                <w:lang w:val="en-US" w:eastAsia="zh-CN"/>
              </w:rPr>
              <w:t>签字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kern w:val="2"/>
                <w:sz w:val="32"/>
                <w:szCs w:val="32"/>
                <w:highlight w:val="none"/>
                <w:vertAlign w:val="baseline"/>
                <w:lang w:val="en-US" w:eastAsia="zh-CN" w:bidi="ar-SA"/>
              </w:rPr>
            </w:pPr>
            <w:r>
              <w:rPr>
                <w:rFonts w:hint="eastAsia" w:ascii="Times New Roman" w:hAnsi="Times New Roman" w:cs="Times New Roman"/>
                <w:color w:val="auto"/>
                <w:kern w:val="2"/>
                <w:sz w:val="32"/>
                <w:szCs w:val="32"/>
                <w:highlight w:val="none"/>
                <w:vertAlign w:val="baseline"/>
                <w:lang w:val="en-US" w:eastAsia="zh-CN" w:bidi="ar-SA"/>
              </w:rPr>
              <w:t>尹靖雯</w:t>
            </w:r>
          </w:p>
        </w:tc>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eastAsia="仿宋" w:cs="Times New Roman"/>
                <w:color w:val="auto"/>
                <w:sz w:val="32"/>
                <w:szCs w:val="32"/>
                <w:highlight w:val="none"/>
                <w:vertAlign w:val="baseline"/>
                <w:lang w:val="en-US" w:eastAsia="zh-CN"/>
              </w:rPr>
              <w:drawing>
                <wp:inline distT="0" distB="0" distL="114300" distR="114300">
                  <wp:extent cx="857250" cy="371475"/>
                  <wp:effectExtent l="0" t="0" r="0" b="9525"/>
                  <wp:docPr id="70" name="图片 70" descr="尹靖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0" name="图片 70" descr="尹靖雯"/>
                          <pic:cNvPicPr>
                            <a:picLocks noChangeAspect="1"/>
                          </pic:cNvPicPr>
                        </pic:nvPicPr>
                        <pic:blipFill>
                          <a:blip r:embed="rId39"/>
                          <a:stretch>
                            <a:fillRect/>
                          </a:stretch>
                        </pic:blipFill>
                        <pic:spPr>
                          <a:xfrm>
                            <a:off x="0" y="0"/>
                            <a:ext cx="857250" cy="37147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kern w:val="2"/>
                <w:sz w:val="32"/>
                <w:szCs w:val="32"/>
                <w:highlight w:val="none"/>
                <w:vertAlign w:val="baseline"/>
                <w:lang w:val="en-US" w:eastAsia="zh-CN" w:bidi="ar-SA"/>
              </w:rPr>
            </w:pPr>
            <w:r>
              <w:rPr>
                <w:rFonts w:hint="eastAsia" w:ascii="Times New Roman" w:hAnsi="Times New Roman" w:cs="Times New Roman"/>
                <w:color w:val="auto"/>
                <w:kern w:val="2"/>
                <w:sz w:val="32"/>
                <w:szCs w:val="32"/>
                <w:highlight w:val="none"/>
                <w:vertAlign w:val="baseline"/>
                <w:lang w:val="en-US" w:eastAsia="zh-CN" w:bidi="ar-SA"/>
              </w:rPr>
              <w:t>刘洋铭</w:t>
            </w:r>
          </w:p>
        </w:tc>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eastAsia="仿宋" w:cs="Times New Roman"/>
                <w:color w:val="auto"/>
                <w:sz w:val="32"/>
                <w:szCs w:val="32"/>
                <w:highlight w:val="none"/>
                <w:vertAlign w:val="baseline"/>
                <w:lang w:val="en-US" w:eastAsia="zh-CN"/>
              </w:rPr>
              <w:drawing>
                <wp:inline distT="0" distB="0" distL="114300" distR="114300">
                  <wp:extent cx="714375" cy="314960"/>
                  <wp:effectExtent l="0" t="0" r="9525" b="8890"/>
                  <wp:docPr id="71" name="图片 71" descr="微信图片_202112310830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1" name="图片 71" descr="微信图片_20211231083018"/>
                          <pic:cNvPicPr>
                            <a:picLocks noChangeAspect="1"/>
                          </pic:cNvPicPr>
                        </pic:nvPicPr>
                        <pic:blipFill>
                          <a:blip r:embed="rId49"/>
                          <a:stretch>
                            <a:fillRect/>
                          </a:stretch>
                        </pic:blipFill>
                        <pic:spPr>
                          <a:xfrm>
                            <a:off x="0" y="0"/>
                            <a:ext cx="714375" cy="314960"/>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kern w:val="2"/>
                <w:sz w:val="32"/>
                <w:szCs w:val="32"/>
                <w:highlight w:val="none"/>
                <w:vertAlign w:val="baseline"/>
                <w:lang w:val="en-US" w:eastAsia="zh-CN" w:bidi="ar-SA"/>
              </w:rPr>
            </w:pPr>
            <w:r>
              <w:rPr>
                <w:rFonts w:hint="eastAsia" w:ascii="Times New Roman" w:hAnsi="Times New Roman" w:cs="Times New Roman"/>
                <w:color w:val="auto"/>
                <w:sz w:val="32"/>
                <w:szCs w:val="32"/>
                <w:highlight w:val="none"/>
                <w:vertAlign w:val="baseline"/>
                <w:lang w:val="en-US" w:eastAsia="zh-CN"/>
              </w:rPr>
              <w:t>马波</w:t>
            </w:r>
          </w:p>
        </w:tc>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eastAsia="仿宋" w:cs="Times New Roman"/>
                <w:color w:val="auto"/>
                <w:sz w:val="32"/>
                <w:szCs w:val="32"/>
                <w:highlight w:val="none"/>
                <w:vertAlign w:val="baseline"/>
                <w:lang w:val="en-US" w:eastAsia="zh-CN"/>
              </w:rPr>
              <w:drawing>
                <wp:inline distT="0" distB="0" distL="114300" distR="114300">
                  <wp:extent cx="778510" cy="332105"/>
                  <wp:effectExtent l="0" t="0" r="2540" b="10795"/>
                  <wp:docPr id="72" name="图片 72" descr="QQ图片202112310824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2" name="图片 72" descr="QQ图片20211231082442"/>
                          <pic:cNvPicPr>
                            <a:picLocks noChangeAspect="1"/>
                          </pic:cNvPicPr>
                        </pic:nvPicPr>
                        <pic:blipFill>
                          <a:blip r:embed="rId67"/>
                          <a:stretch>
                            <a:fillRect/>
                          </a:stretch>
                        </pic:blipFill>
                        <pic:spPr>
                          <a:xfrm>
                            <a:off x="0" y="0"/>
                            <a:ext cx="778510" cy="332105"/>
                          </a:xfrm>
                          <a:prstGeom prst="rect">
                            <a:avLst/>
                          </a:prstGeom>
                        </pic:spPr>
                      </pic:pic>
                    </a:graphicData>
                  </a:graphic>
                </wp:inline>
              </w:drawing>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jc w:val="center"/>
              <w:rPr>
                <w:rFonts w:hint="default" w:ascii="Times New Roman" w:hAnsi="Times New Roman" w:eastAsia="仿宋" w:cs="Times New Roman"/>
                <w:color w:val="auto"/>
                <w:kern w:val="2"/>
                <w:sz w:val="32"/>
                <w:szCs w:val="32"/>
                <w:highlight w:val="none"/>
                <w:vertAlign w:val="baseline"/>
                <w:lang w:val="en-US" w:eastAsia="zh-CN" w:bidi="ar-SA"/>
              </w:rPr>
            </w:pPr>
            <w:r>
              <w:rPr>
                <w:rFonts w:hint="eastAsia" w:ascii="Times New Roman" w:hAnsi="Times New Roman" w:cs="Times New Roman"/>
                <w:color w:val="auto"/>
                <w:sz w:val="32"/>
                <w:szCs w:val="32"/>
                <w:highlight w:val="none"/>
                <w:vertAlign w:val="baseline"/>
                <w:lang w:val="en-US" w:eastAsia="zh-CN"/>
              </w:rPr>
              <w:t>刘宏志</w:t>
            </w:r>
          </w:p>
        </w:tc>
        <w:tc>
          <w:tcPr>
            <w:tcW w:w="2130"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p>
        </w:tc>
        <w:tc>
          <w:tcPr>
            <w:tcW w:w="2131" w:type="dxa"/>
            <w:vAlign w:val="center"/>
          </w:tcPr>
          <w:p>
            <w:pPr>
              <w:jc w:val="center"/>
              <w:rPr>
                <w:rFonts w:hint="default" w:ascii="Times New Roman" w:hAnsi="Times New Roman" w:eastAsia="仿宋" w:cs="Times New Roman"/>
                <w:color w:val="auto"/>
                <w:sz w:val="32"/>
                <w:szCs w:val="32"/>
                <w:highlight w:val="none"/>
                <w:vertAlign w:val="baseline"/>
                <w:lang w:val="en-US" w:eastAsia="zh-CN"/>
              </w:rPr>
            </w:pPr>
            <w:r>
              <w:rPr>
                <w:rFonts w:hint="default" w:ascii="Times New Roman" w:hAnsi="Times New Roman" w:eastAsia="仿宋" w:cs="Times New Roman"/>
                <w:color w:val="auto"/>
                <w:sz w:val="32"/>
                <w:szCs w:val="32"/>
                <w:highlight w:val="none"/>
                <w:vertAlign w:val="baseline"/>
                <w:lang w:val="en-US" w:eastAsia="zh-CN"/>
              </w:rPr>
              <w:drawing>
                <wp:inline distT="0" distB="0" distL="114300" distR="114300">
                  <wp:extent cx="947420" cy="342265"/>
                  <wp:effectExtent l="0" t="0" r="5080" b="635"/>
                  <wp:docPr id="73" name="图片 73" descr="刘宏志"/>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3" name="图片 73" descr="刘宏志"/>
                          <pic:cNvPicPr>
                            <a:picLocks noChangeAspect="1"/>
                          </pic:cNvPicPr>
                        </pic:nvPicPr>
                        <pic:blipFill>
                          <a:blip r:embed="rId50"/>
                          <a:stretch>
                            <a:fillRect/>
                          </a:stretch>
                        </pic:blipFill>
                        <pic:spPr>
                          <a:xfrm>
                            <a:off x="0" y="0"/>
                            <a:ext cx="947420" cy="342265"/>
                          </a:xfrm>
                          <a:prstGeom prst="rect">
                            <a:avLst/>
                          </a:prstGeom>
                        </pic:spPr>
                      </pic:pic>
                    </a:graphicData>
                  </a:graphic>
                </wp:inline>
              </w:drawing>
            </w:r>
          </w:p>
        </w:tc>
      </w:tr>
    </w:tbl>
    <w:p>
      <w:pPr>
        <w:pStyle w:val="2"/>
        <w:bidi w:val="0"/>
        <w:spacing w:line="360" w:lineRule="auto"/>
        <w:outlineLvl w:val="9"/>
        <w:rPr>
          <w:rFonts w:hint="default" w:ascii="Times New Roman" w:hAnsi="Times New Roman" w:cs="Times New Roman"/>
          <w:color w:val="auto"/>
          <w:highlight w:val="none"/>
          <w:lang w:val="en-US" w:eastAsia="zh-CN"/>
        </w:rPr>
        <w:sectPr>
          <w:pgSz w:w="11906" w:h="16838"/>
          <w:pgMar w:top="1440" w:right="1440" w:bottom="1440" w:left="1440" w:header="851" w:footer="992" w:gutter="0"/>
          <w:cols w:space="425" w:num="1"/>
          <w:docGrid w:type="lines" w:linePitch="312" w:charSpace="0"/>
        </w:sectPr>
      </w:pPr>
    </w:p>
    <w:sdt>
      <w:sdtPr>
        <w:rPr>
          <w:rFonts w:ascii="宋体" w:hAnsi="宋体" w:eastAsia="宋体" w:cstheme="minorBidi"/>
          <w:color w:val="auto"/>
          <w:kern w:val="2"/>
          <w:sz w:val="21"/>
          <w:szCs w:val="24"/>
          <w:highlight w:val="none"/>
          <w:lang w:val="en-US" w:eastAsia="zh-CN" w:bidi="ar-SA"/>
        </w:rPr>
        <w:id w:val="147451451"/>
        <w15:color w:val="DBDBDB"/>
        <w:docPartObj>
          <w:docPartGallery w:val="Table of Contents"/>
          <w:docPartUnique/>
        </w:docPartObj>
      </w:sdtPr>
      <w:sdtEndPr>
        <w:rPr>
          <w:rFonts w:hint="default" w:ascii="Times New Roman" w:hAnsi="Times New Roman" w:eastAsia="黑体" w:cs="Times New Roman"/>
          <w:b/>
          <w:color w:val="auto"/>
          <w:kern w:val="44"/>
          <w:sz w:val="32"/>
          <w:szCs w:val="24"/>
          <w:highlight w:val="none"/>
          <w:lang w:val="en-US" w:eastAsia="zh-CN" w:bidi="ar-SA"/>
        </w:rPr>
      </w:sdtEndPr>
      <w:sdtContent>
        <w:p>
          <w:pPr>
            <w:pStyle w:val="2"/>
            <w:bidi w:val="0"/>
            <w:spacing w:line="360" w:lineRule="auto"/>
            <w:jc w:val="center"/>
            <w:outlineLvl w:val="9"/>
            <w:rPr>
              <w:color w:val="auto"/>
              <w:highlight w:val="none"/>
            </w:rPr>
          </w:pPr>
          <w:bookmarkStart w:id="376" w:name="_Toc5482"/>
          <w:r>
            <w:rPr>
              <w:rFonts w:hint="eastAsia" w:ascii="黑体" w:hAnsi="黑体" w:eastAsia="黑体" w:cs="黑体"/>
              <w:color w:val="auto"/>
              <w:sz w:val="32"/>
              <w:szCs w:val="32"/>
              <w:highlight w:val="none"/>
            </w:rPr>
            <w:t>目录</w:t>
          </w:r>
          <w:bookmarkEnd w:id="376"/>
          <w:r>
            <w:rPr>
              <w:rFonts w:hint="default" w:ascii="Times New Roman" w:hAnsi="Times New Roman" w:cs="Times New Roman"/>
              <w:color w:val="auto"/>
              <w:highlight w:val="none"/>
              <w:lang w:val="en-US" w:eastAsia="zh-CN"/>
            </w:rPr>
            <w:fldChar w:fldCharType="begin"/>
          </w:r>
          <w:r>
            <w:rPr>
              <w:rFonts w:hint="default" w:ascii="Times New Roman" w:hAnsi="Times New Roman" w:cs="Times New Roman"/>
              <w:color w:val="auto"/>
              <w:highlight w:val="none"/>
              <w:lang w:val="en-US" w:eastAsia="zh-CN"/>
            </w:rPr>
            <w:instrText xml:space="preserve">TOC \o "1-2" \h \u </w:instrText>
          </w:r>
          <w:r>
            <w:rPr>
              <w:rFonts w:hint="default" w:ascii="Times New Roman" w:hAnsi="Times New Roman" w:cs="Times New Roman"/>
              <w:color w:val="auto"/>
              <w:highlight w:val="none"/>
              <w:lang w:val="en-US" w:eastAsia="zh-CN"/>
            </w:rPr>
            <w:fldChar w:fldCharType="separate"/>
          </w:r>
        </w:p>
        <w:p>
          <w:pPr>
            <w:pStyle w:val="16"/>
            <w:tabs>
              <w:tab w:val="right" w:leader="dot" w:pos="8306"/>
            </w:tabs>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val="en-US" w:eastAsia="zh-CN"/>
            </w:rPr>
            <w:fldChar w:fldCharType="begin"/>
          </w:r>
          <w:r>
            <w:rPr>
              <w:rFonts w:hint="eastAsia" w:ascii="黑体" w:hAnsi="黑体" w:eastAsia="黑体" w:cs="黑体"/>
              <w:color w:val="auto"/>
              <w:sz w:val="32"/>
              <w:szCs w:val="32"/>
              <w:highlight w:val="none"/>
              <w:lang w:val="en-US" w:eastAsia="zh-CN"/>
            </w:rPr>
            <w:instrText xml:space="preserve"> HYPERLINK \l _Toc8821 </w:instrText>
          </w:r>
          <w:r>
            <w:rPr>
              <w:rFonts w:hint="eastAsia" w:ascii="黑体" w:hAnsi="黑体" w:eastAsia="黑体" w:cs="黑体"/>
              <w:color w:val="auto"/>
              <w:sz w:val="32"/>
              <w:szCs w:val="32"/>
              <w:highlight w:val="none"/>
              <w:lang w:val="en-US" w:eastAsia="zh-CN"/>
            </w:rPr>
            <w:fldChar w:fldCharType="separate"/>
          </w:r>
          <w:r>
            <w:rPr>
              <w:rFonts w:hint="eastAsia" w:ascii="黑体" w:hAnsi="黑体" w:eastAsia="黑体" w:cs="黑体"/>
              <w:color w:val="auto"/>
              <w:sz w:val="32"/>
              <w:szCs w:val="32"/>
              <w:highlight w:val="none"/>
              <w:lang w:val="en-US" w:eastAsia="zh-CN"/>
            </w:rPr>
            <w:t>前言</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_Toc8821 \h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3</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lang w:val="en-US" w:eastAsia="zh-CN"/>
            </w:rPr>
            <w:fldChar w:fldCharType="end"/>
          </w:r>
        </w:p>
        <w:p>
          <w:pPr>
            <w:pStyle w:val="16"/>
            <w:tabs>
              <w:tab w:val="right" w:leader="dot" w:pos="8306"/>
            </w:tabs>
            <w:rPr>
              <w:color w:val="auto"/>
              <w:highlight w:val="none"/>
            </w:rPr>
          </w:pPr>
          <w:r>
            <w:rPr>
              <w:rFonts w:hint="eastAsia" w:ascii="黑体" w:hAnsi="黑体" w:eastAsia="黑体" w:cs="黑体"/>
              <w:color w:val="auto"/>
              <w:sz w:val="32"/>
              <w:szCs w:val="32"/>
              <w:highlight w:val="none"/>
              <w:lang w:val="en-US" w:eastAsia="zh-CN"/>
            </w:rPr>
            <w:fldChar w:fldCharType="begin"/>
          </w:r>
          <w:r>
            <w:rPr>
              <w:rFonts w:hint="eastAsia" w:ascii="黑体" w:hAnsi="黑体" w:eastAsia="黑体" w:cs="黑体"/>
              <w:color w:val="auto"/>
              <w:sz w:val="32"/>
              <w:szCs w:val="32"/>
              <w:highlight w:val="none"/>
              <w:lang w:val="en-US" w:eastAsia="zh-CN"/>
            </w:rPr>
            <w:instrText xml:space="preserve"> HYPERLINK \l _Toc31053 </w:instrText>
          </w:r>
          <w:r>
            <w:rPr>
              <w:rFonts w:hint="eastAsia" w:ascii="黑体" w:hAnsi="黑体" w:eastAsia="黑体" w:cs="黑体"/>
              <w:color w:val="auto"/>
              <w:sz w:val="32"/>
              <w:szCs w:val="32"/>
              <w:highlight w:val="none"/>
              <w:lang w:val="en-US" w:eastAsia="zh-CN"/>
            </w:rPr>
            <w:fldChar w:fldCharType="separate"/>
          </w:r>
          <w:r>
            <w:rPr>
              <w:rFonts w:hint="eastAsia" w:ascii="黑体" w:hAnsi="黑体" w:eastAsia="黑体" w:cs="黑体"/>
              <w:color w:val="auto"/>
              <w:sz w:val="32"/>
              <w:szCs w:val="32"/>
              <w:highlight w:val="none"/>
              <w:lang w:val="en-US" w:eastAsia="zh-CN"/>
            </w:rPr>
            <w:t>1 项目及项目区概括</w:t>
          </w:r>
          <w:r>
            <w:rPr>
              <w:rFonts w:hint="eastAsia" w:ascii="黑体" w:hAnsi="黑体" w:eastAsia="黑体" w:cs="黑体"/>
              <w:color w:val="auto"/>
              <w:sz w:val="32"/>
              <w:szCs w:val="32"/>
              <w:highlight w:val="none"/>
            </w:rPr>
            <w:tab/>
          </w:r>
          <w:r>
            <w:rPr>
              <w:rFonts w:hint="eastAsia" w:ascii="黑体" w:hAnsi="黑体" w:eastAsia="黑体" w:cs="黑体"/>
              <w:color w:val="auto"/>
              <w:sz w:val="32"/>
              <w:szCs w:val="32"/>
              <w:highlight w:val="none"/>
            </w:rPr>
            <w:fldChar w:fldCharType="begin"/>
          </w:r>
          <w:r>
            <w:rPr>
              <w:rFonts w:hint="eastAsia" w:ascii="黑体" w:hAnsi="黑体" w:eastAsia="黑体" w:cs="黑体"/>
              <w:color w:val="auto"/>
              <w:sz w:val="32"/>
              <w:szCs w:val="32"/>
              <w:highlight w:val="none"/>
            </w:rPr>
            <w:instrText xml:space="preserve"> PAGEREF _Toc31053 \h </w:instrText>
          </w:r>
          <w:r>
            <w:rPr>
              <w:rFonts w:hint="eastAsia" w:ascii="黑体" w:hAnsi="黑体" w:eastAsia="黑体" w:cs="黑体"/>
              <w:color w:val="auto"/>
              <w:sz w:val="32"/>
              <w:szCs w:val="32"/>
              <w:highlight w:val="none"/>
            </w:rPr>
            <w:fldChar w:fldCharType="separate"/>
          </w:r>
          <w:r>
            <w:rPr>
              <w:rFonts w:hint="eastAsia" w:ascii="黑体" w:hAnsi="黑体" w:eastAsia="黑体" w:cs="黑体"/>
              <w:color w:val="auto"/>
              <w:sz w:val="32"/>
              <w:szCs w:val="32"/>
              <w:highlight w:val="none"/>
            </w:rPr>
            <w:t>4</w:t>
          </w:r>
          <w:r>
            <w:rPr>
              <w:rFonts w:hint="eastAsia" w:ascii="黑体" w:hAnsi="黑体" w:eastAsia="黑体" w:cs="黑体"/>
              <w:color w:val="auto"/>
              <w:sz w:val="32"/>
              <w:szCs w:val="32"/>
              <w:highlight w:val="none"/>
            </w:rPr>
            <w:fldChar w:fldCharType="end"/>
          </w:r>
          <w:r>
            <w:rPr>
              <w:rFonts w:hint="eastAsia" w:ascii="黑体" w:hAnsi="黑体" w:eastAsia="黑体" w:cs="黑体"/>
              <w:color w:val="auto"/>
              <w:sz w:val="32"/>
              <w:szCs w:val="32"/>
              <w:highlight w:val="none"/>
              <w:lang w:val="en-US" w:eastAsia="zh-CN"/>
            </w:rPr>
            <w:fldChar w:fldCharType="end"/>
          </w:r>
        </w:p>
        <w:p>
          <w:pPr>
            <w:pStyle w:val="17"/>
            <w:tabs>
              <w:tab w:val="right" w:leader="dot" w:pos="8306"/>
            </w:tabs>
            <w:rPr>
              <w:rFonts w:hint="eastAsia" w:ascii="仿宋" w:hAnsi="仿宋" w:eastAsia="仿宋" w:cs="仿宋"/>
              <w:color w:val="auto"/>
              <w:sz w:val="28"/>
              <w:szCs w:val="28"/>
              <w:highlight w:val="none"/>
            </w:rPr>
          </w:pP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HYPERLINK \l _Toc15886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1.1 项目概括</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_Toc15886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4</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lang w:val="en-US" w:eastAsia="zh-CN"/>
            </w:rPr>
            <w:fldChar w:fldCharType="end"/>
          </w:r>
        </w:p>
        <w:p>
          <w:pPr>
            <w:pStyle w:val="17"/>
            <w:tabs>
              <w:tab w:val="right" w:leader="dot" w:pos="8306"/>
            </w:tabs>
            <w:rPr>
              <w:color w:val="auto"/>
              <w:highlight w:val="none"/>
            </w:rPr>
          </w:pP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HYPERLINK \l _Toc2651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1.2项目区自然和水土保持情况</w:t>
          </w:r>
          <w:r>
            <w:rPr>
              <w:rFonts w:hint="eastAsia" w:ascii="仿宋" w:hAnsi="仿宋" w:eastAsia="仿宋" w:cs="仿宋"/>
              <w:color w:val="auto"/>
              <w:sz w:val="28"/>
              <w:szCs w:val="28"/>
              <w:highlight w:val="none"/>
            </w:rPr>
            <w:tab/>
          </w:r>
          <w:r>
            <w:rPr>
              <w:rFonts w:hint="eastAsia" w:ascii="仿宋" w:hAnsi="仿宋" w:eastAsia="仿宋" w:cs="仿宋"/>
              <w:color w:val="auto"/>
              <w:sz w:val="28"/>
              <w:szCs w:val="28"/>
              <w:highlight w:val="none"/>
            </w:rPr>
            <w:fldChar w:fldCharType="begin"/>
          </w:r>
          <w:r>
            <w:rPr>
              <w:rFonts w:hint="eastAsia" w:ascii="仿宋" w:hAnsi="仿宋" w:eastAsia="仿宋" w:cs="仿宋"/>
              <w:color w:val="auto"/>
              <w:sz w:val="28"/>
              <w:szCs w:val="28"/>
              <w:highlight w:val="none"/>
            </w:rPr>
            <w:instrText xml:space="preserve"> PAGEREF _Toc2651 \h </w:instrText>
          </w:r>
          <w:r>
            <w:rPr>
              <w:rFonts w:hint="eastAsia" w:ascii="仿宋" w:hAnsi="仿宋" w:eastAsia="仿宋" w:cs="仿宋"/>
              <w:color w:val="auto"/>
              <w:sz w:val="28"/>
              <w:szCs w:val="28"/>
              <w:highlight w:val="none"/>
            </w:rPr>
            <w:fldChar w:fldCharType="separate"/>
          </w:r>
          <w:r>
            <w:rPr>
              <w:rFonts w:hint="eastAsia" w:ascii="仿宋" w:hAnsi="仿宋" w:eastAsia="仿宋" w:cs="仿宋"/>
              <w:color w:val="auto"/>
              <w:sz w:val="28"/>
              <w:szCs w:val="28"/>
              <w:highlight w:val="none"/>
            </w:rPr>
            <w:t>15</w:t>
          </w:r>
          <w:r>
            <w:rPr>
              <w:rFonts w:hint="eastAsia" w:ascii="仿宋" w:hAnsi="仿宋" w:eastAsia="仿宋" w:cs="仿宋"/>
              <w:color w:val="auto"/>
              <w:sz w:val="28"/>
              <w:szCs w:val="28"/>
              <w:highlight w:val="none"/>
            </w:rPr>
            <w:fldChar w:fldCharType="end"/>
          </w:r>
          <w:r>
            <w:rPr>
              <w:rFonts w:hint="eastAsia" w:ascii="仿宋" w:hAnsi="仿宋" w:eastAsia="仿宋" w:cs="仿宋"/>
              <w:color w:val="auto"/>
              <w:sz w:val="28"/>
              <w:szCs w:val="28"/>
              <w:highlight w:val="none"/>
              <w:lang w:val="en-US" w:eastAsia="zh-CN"/>
            </w:rPr>
            <w:fldChar w:fldCharType="end"/>
          </w:r>
        </w:p>
        <w:p>
          <w:pPr>
            <w:pStyle w:val="16"/>
            <w:tabs>
              <w:tab w:val="right" w:leader="dot" w:pos="8306"/>
            </w:tabs>
            <w:rPr>
              <w:rFonts w:hint="eastAsia" w:ascii="黑体" w:hAnsi="黑体" w:eastAsia="黑体" w:cs="黑体"/>
              <w:color w:val="auto"/>
              <w:sz w:val="32"/>
              <w:szCs w:val="32"/>
              <w:highlight w:val="none"/>
              <w:lang w:val="en-US" w:eastAsia="zh-CN"/>
            </w:rPr>
          </w:pP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HYPERLINK \l _Toc12917 </w:instrText>
          </w:r>
          <w:r>
            <w:rPr>
              <w:rFonts w:hint="default" w:ascii="黑体" w:hAnsi="黑体" w:eastAsia="黑体" w:cs="黑体"/>
              <w:color w:val="auto"/>
              <w:sz w:val="32"/>
              <w:szCs w:val="32"/>
              <w:highlight w:val="none"/>
              <w:lang w:val="en-US" w:eastAsia="zh-CN"/>
            </w:rPr>
            <w:fldChar w:fldCharType="separate"/>
          </w:r>
          <w:r>
            <w:rPr>
              <w:rFonts w:hint="default" w:ascii="黑体" w:hAnsi="黑体" w:eastAsia="黑体" w:cs="黑体"/>
              <w:color w:val="auto"/>
              <w:sz w:val="32"/>
              <w:szCs w:val="32"/>
              <w:highlight w:val="none"/>
              <w:lang w:val="en-US" w:eastAsia="zh-CN"/>
            </w:rPr>
            <w:t>2 水土保持方案及设计情况</w:t>
          </w:r>
          <w:r>
            <w:rPr>
              <w:rFonts w:hint="eastAsia" w:ascii="黑体" w:hAnsi="黑体" w:eastAsia="黑体" w:cs="黑体"/>
              <w:color w:val="auto"/>
              <w:sz w:val="32"/>
              <w:szCs w:val="32"/>
              <w:highlight w:val="none"/>
              <w:lang w:val="en-US" w:eastAsia="zh-CN"/>
            </w:rPr>
            <w:tab/>
          </w:r>
          <w:r>
            <w:rPr>
              <w:rFonts w:hint="eastAsia" w:ascii="黑体" w:hAnsi="黑体" w:eastAsia="黑体" w:cs="黑体"/>
              <w:color w:val="auto"/>
              <w:sz w:val="32"/>
              <w:szCs w:val="32"/>
              <w:highlight w:val="none"/>
              <w:lang w:val="en-US" w:eastAsia="zh-CN"/>
            </w:rPr>
            <w:fldChar w:fldCharType="begin"/>
          </w:r>
          <w:r>
            <w:rPr>
              <w:rFonts w:hint="eastAsia" w:ascii="黑体" w:hAnsi="黑体" w:eastAsia="黑体" w:cs="黑体"/>
              <w:color w:val="auto"/>
              <w:sz w:val="32"/>
              <w:szCs w:val="32"/>
              <w:highlight w:val="none"/>
              <w:lang w:val="en-US" w:eastAsia="zh-CN"/>
            </w:rPr>
            <w:instrText xml:space="preserve"> PAGEREF _Toc12917 \h </w:instrText>
          </w:r>
          <w:r>
            <w:rPr>
              <w:rFonts w:hint="eastAsia" w:ascii="黑体" w:hAnsi="黑体" w:eastAsia="黑体" w:cs="黑体"/>
              <w:color w:val="auto"/>
              <w:sz w:val="32"/>
              <w:szCs w:val="32"/>
              <w:highlight w:val="none"/>
              <w:lang w:val="en-US" w:eastAsia="zh-CN"/>
            </w:rPr>
            <w:fldChar w:fldCharType="separate"/>
          </w:r>
          <w:r>
            <w:rPr>
              <w:rFonts w:hint="eastAsia" w:ascii="黑体" w:hAnsi="黑体" w:eastAsia="黑体" w:cs="黑体"/>
              <w:color w:val="auto"/>
              <w:sz w:val="32"/>
              <w:szCs w:val="32"/>
              <w:highlight w:val="none"/>
              <w:lang w:val="en-US" w:eastAsia="zh-CN"/>
            </w:rPr>
            <w:t>17</w:t>
          </w:r>
          <w:r>
            <w:rPr>
              <w:rFonts w:hint="eastAsia" w:ascii="黑体" w:hAnsi="黑体" w:eastAsia="黑体" w:cs="黑体"/>
              <w:color w:val="auto"/>
              <w:sz w:val="32"/>
              <w:szCs w:val="32"/>
              <w:highlight w:val="none"/>
              <w:lang w:val="en-US" w:eastAsia="zh-CN"/>
            </w:rPr>
            <w:fldChar w:fldCharType="end"/>
          </w:r>
          <w:r>
            <w:rPr>
              <w:rFonts w:hint="default" w:ascii="黑体" w:hAnsi="黑体" w:eastAsia="黑体" w:cs="黑体"/>
              <w:color w:val="auto"/>
              <w:sz w:val="32"/>
              <w:szCs w:val="32"/>
              <w:highlight w:val="none"/>
              <w:lang w:val="en-US" w:eastAsia="zh-CN"/>
            </w:rPr>
            <w:fldChar w:fldCharType="end"/>
          </w:r>
        </w:p>
        <w:p>
          <w:pPr>
            <w:pStyle w:val="17"/>
            <w:tabs>
              <w:tab w:val="right" w:leader="dot" w:pos="8306"/>
            </w:tabs>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_Toc15636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2.1主体工程设计</w:t>
          </w:r>
          <w:r>
            <w:rPr>
              <w:rFonts w:hint="eastAsia" w:ascii="仿宋" w:hAnsi="仿宋" w:eastAsia="仿宋" w:cs="仿宋"/>
              <w:color w:val="auto"/>
              <w:sz w:val="28"/>
              <w:szCs w:val="28"/>
              <w:highlight w:val="none"/>
              <w:lang w:val="en-US" w:eastAsia="zh-CN"/>
            </w:rPr>
            <w:tab/>
          </w: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PAGEREF _Toc15636 \h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_Toc22182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2.2水土保持方案</w:t>
          </w:r>
          <w:r>
            <w:rPr>
              <w:rFonts w:hint="eastAsia" w:ascii="仿宋" w:hAnsi="仿宋" w:eastAsia="仿宋" w:cs="仿宋"/>
              <w:color w:val="auto"/>
              <w:sz w:val="28"/>
              <w:szCs w:val="28"/>
              <w:highlight w:val="none"/>
              <w:lang w:val="en-US" w:eastAsia="zh-CN"/>
            </w:rPr>
            <w:tab/>
          </w: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PAGEREF _Toc22182 \h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17</w:t>
          </w:r>
          <w:r>
            <w:rPr>
              <w:rFonts w:hint="eastAsia"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eastAsia"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_Toc22288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2.3水土保持方案变更</w:t>
          </w:r>
          <w:r>
            <w:rPr>
              <w:rFonts w:hint="eastAsia" w:ascii="仿宋" w:hAnsi="仿宋" w:eastAsia="仿宋" w:cs="仿宋"/>
              <w:color w:val="auto"/>
              <w:sz w:val="28"/>
              <w:szCs w:val="28"/>
              <w:highlight w:val="none"/>
              <w:lang w:val="en-US" w:eastAsia="zh-CN"/>
            </w:rPr>
            <w:tab/>
          </w: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PAGEREF _Toc22288 \h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color w:val="auto"/>
              <w:highlight w:val="none"/>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_Toc16928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2.4水土保持后续设计</w:t>
          </w:r>
          <w:r>
            <w:rPr>
              <w:rFonts w:hint="eastAsia" w:ascii="仿宋" w:hAnsi="仿宋" w:eastAsia="仿宋" w:cs="仿宋"/>
              <w:color w:val="auto"/>
              <w:sz w:val="28"/>
              <w:szCs w:val="28"/>
              <w:highlight w:val="none"/>
              <w:lang w:val="en-US" w:eastAsia="zh-CN"/>
            </w:rPr>
            <w:tab/>
          </w:r>
          <w:r>
            <w:rPr>
              <w:rFonts w:hint="eastAsia" w:ascii="仿宋" w:hAnsi="仿宋" w:eastAsia="仿宋" w:cs="仿宋"/>
              <w:color w:val="auto"/>
              <w:sz w:val="28"/>
              <w:szCs w:val="28"/>
              <w:highlight w:val="none"/>
              <w:lang w:val="en-US" w:eastAsia="zh-CN"/>
            </w:rPr>
            <w:fldChar w:fldCharType="begin"/>
          </w:r>
          <w:r>
            <w:rPr>
              <w:rFonts w:hint="eastAsia" w:ascii="仿宋" w:hAnsi="仿宋" w:eastAsia="仿宋" w:cs="仿宋"/>
              <w:color w:val="auto"/>
              <w:sz w:val="28"/>
              <w:szCs w:val="28"/>
              <w:highlight w:val="none"/>
              <w:lang w:val="en-US" w:eastAsia="zh-CN"/>
            </w:rPr>
            <w:instrText xml:space="preserve"> PAGEREF _Toc16928 \h </w:instrText>
          </w:r>
          <w:r>
            <w:rPr>
              <w:rFonts w:hint="eastAsia"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18</w:t>
          </w:r>
          <w:r>
            <w:rPr>
              <w:rFonts w:hint="eastAsia"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6"/>
            <w:tabs>
              <w:tab w:val="right" w:leader="dot" w:pos="8306"/>
            </w:tabs>
            <w:rPr>
              <w:rFonts w:hint="default" w:ascii="黑体" w:hAnsi="黑体" w:eastAsia="黑体" w:cs="黑体"/>
              <w:color w:val="auto"/>
              <w:sz w:val="32"/>
              <w:szCs w:val="32"/>
              <w:highlight w:val="none"/>
              <w:lang w:val="en-US" w:eastAsia="zh-CN"/>
            </w:rPr>
          </w:pP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HYPERLINK \l _Toc249 </w:instrText>
          </w:r>
          <w:r>
            <w:rPr>
              <w:rFonts w:hint="default" w:ascii="黑体" w:hAnsi="黑体" w:eastAsia="黑体" w:cs="黑体"/>
              <w:color w:val="auto"/>
              <w:sz w:val="32"/>
              <w:szCs w:val="32"/>
              <w:highlight w:val="none"/>
              <w:lang w:val="en-US" w:eastAsia="zh-CN"/>
            </w:rPr>
            <w:fldChar w:fldCharType="separate"/>
          </w:r>
          <w:r>
            <w:rPr>
              <w:rFonts w:hint="default" w:ascii="黑体" w:hAnsi="黑体" w:eastAsia="黑体" w:cs="黑体"/>
              <w:color w:val="auto"/>
              <w:sz w:val="32"/>
              <w:szCs w:val="32"/>
              <w:highlight w:val="none"/>
              <w:lang w:val="en-US" w:eastAsia="zh-CN"/>
            </w:rPr>
            <w:t>3</w:t>
          </w:r>
          <w:r>
            <w:rPr>
              <w:rFonts w:hint="eastAsia" w:ascii="黑体" w:hAnsi="黑体" w:eastAsia="黑体" w:cs="黑体"/>
              <w:color w:val="auto"/>
              <w:sz w:val="32"/>
              <w:szCs w:val="32"/>
              <w:highlight w:val="none"/>
              <w:lang w:val="en-US" w:eastAsia="zh-CN"/>
            </w:rPr>
            <w:t xml:space="preserve"> </w:t>
          </w:r>
          <w:r>
            <w:rPr>
              <w:rFonts w:hint="default" w:ascii="黑体" w:hAnsi="黑体" w:eastAsia="黑体" w:cs="黑体"/>
              <w:color w:val="auto"/>
              <w:sz w:val="32"/>
              <w:szCs w:val="32"/>
              <w:highlight w:val="none"/>
              <w:lang w:val="en-US" w:eastAsia="zh-CN"/>
            </w:rPr>
            <w:t>水土保持方案实施情况</w:t>
          </w:r>
          <w:r>
            <w:rPr>
              <w:rFonts w:hint="default" w:ascii="黑体" w:hAnsi="黑体" w:eastAsia="黑体" w:cs="黑体"/>
              <w:color w:val="auto"/>
              <w:sz w:val="32"/>
              <w:szCs w:val="32"/>
              <w:highlight w:val="none"/>
              <w:lang w:val="en-US" w:eastAsia="zh-CN"/>
            </w:rPr>
            <w:tab/>
          </w: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PAGEREF _Toc249 \h </w:instrText>
          </w:r>
          <w:r>
            <w:rPr>
              <w:rFonts w:hint="default" w:ascii="黑体" w:hAnsi="黑体" w:eastAsia="黑体" w:cs="黑体"/>
              <w:color w:val="auto"/>
              <w:sz w:val="32"/>
              <w:szCs w:val="32"/>
              <w:highlight w:val="none"/>
              <w:lang w:val="en-US" w:eastAsia="zh-CN"/>
            </w:rPr>
            <w:fldChar w:fldCharType="separate"/>
          </w:r>
          <w:r>
            <w:rPr>
              <w:rFonts w:hint="default" w:ascii="黑体" w:hAnsi="黑体" w:eastAsia="黑体" w:cs="黑体"/>
              <w:color w:val="auto"/>
              <w:sz w:val="32"/>
              <w:szCs w:val="32"/>
              <w:highlight w:val="none"/>
              <w:lang w:val="en-US" w:eastAsia="zh-CN"/>
            </w:rPr>
            <w:t>19</w:t>
          </w:r>
          <w:r>
            <w:rPr>
              <w:rFonts w:hint="default" w:ascii="黑体" w:hAnsi="黑体" w:eastAsia="黑体" w:cs="黑体"/>
              <w:color w:val="auto"/>
              <w:sz w:val="32"/>
              <w:szCs w:val="32"/>
              <w:highlight w:val="none"/>
              <w:lang w:val="en-US" w:eastAsia="zh-CN"/>
            </w:rPr>
            <w:fldChar w:fldCharType="end"/>
          </w:r>
          <w:r>
            <w:rPr>
              <w:rFonts w:hint="default" w:ascii="黑体" w:hAnsi="黑体" w:eastAsia="黑体" w:cs="黑体"/>
              <w:color w:val="auto"/>
              <w:sz w:val="32"/>
              <w:szCs w:val="32"/>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_Toc13695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3.1水土流失防治责任范围</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_Toc13695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19</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_Toc12589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3.2弃渣场设置</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_Toc12589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20</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_Toc1393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3.3取土场设置</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_Toc1393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21</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_Toc24639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3.4水土保持措施总体布局</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_Toc24639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21</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_Toc13043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3.5水土保持设施完成情况</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_Toc13043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23</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color w:val="auto"/>
              <w:highlight w:val="none"/>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_Toc2987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3.6 水土保持投资完成情况</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_Toc2987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28</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6"/>
            <w:tabs>
              <w:tab w:val="right" w:leader="dot" w:pos="8306"/>
            </w:tabs>
            <w:rPr>
              <w:rFonts w:hint="default" w:ascii="黑体" w:hAnsi="黑体" w:eastAsia="黑体" w:cs="黑体"/>
              <w:color w:val="auto"/>
              <w:sz w:val="32"/>
              <w:szCs w:val="32"/>
              <w:highlight w:val="none"/>
              <w:lang w:val="en-US" w:eastAsia="zh-CN"/>
            </w:rPr>
          </w:pP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HYPERLINK \l _Toc8098 </w:instrText>
          </w:r>
          <w:r>
            <w:rPr>
              <w:rFonts w:hint="default" w:ascii="黑体" w:hAnsi="黑体" w:eastAsia="黑体" w:cs="黑体"/>
              <w:color w:val="auto"/>
              <w:sz w:val="32"/>
              <w:szCs w:val="32"/>
              <w:highlight w:val="none"/>
              <w:lang w:val="en-US" w:eastAsia="zh-CN"/>
            </w:rPr>
            <w:fldChar w:fldCharType="separate"/>
          </w:r>
          <w:r>
            <w:rPr>
              <w:rFonts w:hint="default" w:ascii="黑体" w:hAnsi="黑体" w:eastAsia="黑体" w:cs="黑体"/>
              <w:color w:val="auto"/>
              <w:sz w:val="32"/>
              <w:szCs w:val="32"/>
              <w:highlight w:val="none"/>
              <w:lang w:val="en-US" w:eastAsia="zh-CN"/>
            </w:rPr>
            <w:t>4</w:t>
          </w:r>
          <w:r>
            <w:rPr>
              <w:rFonts w:hint="eastAsia" w:ascii="黑体" w:hAnsi="黑体" w:eastAsia="黑体" w:cs="黑体"/>
              <w:color w:val="auto"/>
              <w:sz w:val="32"/>
              <w:szCs w:val="32"/>
              <w:highlight w:val="none"/>
              <w:lang w:val="en-US" w:eastAsia="zh-CN"/>
            </w:rPr>
            <w:t xml:space="preserve"> </w:t>
          </w:r>
          <w:r>
            <w:rPr>
              <w:rFonts w:hint="default" w:ascii="黑体" w:hAnsi="黑体" w:eastAsia="黑体" w:cs="黑体"/>
              <w:color w:val="auto"/>
              <w:sz w:val="32"/>
              <w:szCs w:val="32"/>
              <w:highlight w:val="none"/>
              <w:lang w:val="en-US" w:eastAsia="zh-CN"/>
            </w:rPr>
            <w:t>水土保持工程质量</w:t>
          </w:r>
          <w:r>
            <w:rPr>
              <w:rFonts w:hint="default" w:ascii="黑体" w:hAnsi="黑体" w:eastAsia="黑体" w:cs="黑体"/>
              <w:color w:val="auto"/>
              <w:sz w:val="32"/>
              <w:szCs w:val="32"/>
              <w:highlight w:val="none"/>
              <w:lang w:val="en-US" w:eastAsia="zh-CN"/>
            </w:rPr>
            <w:tab/>
          </w: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PAGEREF _Toc8098 \h </w:instrText>
          </w:r>
          <w:r>
            <w:rPr>
              <w:rFonts w:hint="default" w:ascii="黑体" w:hAnsi="黑体" w:eastAsia="黑体" w:cs="黑体"/>
              <w:color w:val="auto"/>
              <w:sz w:val="32"/>
              <w:szCs w:val="32"/>
              <w:highlight w:val="none"/>
              <w:lang w:val="en-US" w:eastAsia="zh-CN"/>
            </w:rPr>
            <w:fldChar w:fldCharType="separate"/>
          </w:r>
          <w:r>
            <w:rPr>
              <w:rFonts w:hint="default" w:ascii="黑体" w:hAnsi="黑体" w:eastAsia="黑体" w:cs="黑体"/>
              <w:color w:val="auto"/>
              <w:sz w:val="32"/>
              <w:szCs w:val="32"/>
              <w:highlight w:val="none"/>
              <w:lang w:val="en-US" w:eastAsia="zh-CN"/>
            </w:rPr>
            <w:t>30</w:t>
          </w:r>
          <w:r>
            <w:rPr>
              <w:rFonts w:hint="default" w:ascii="黑体" w:hAnsi="黑体" w:eastAsia="黑体" w:cs="黑体"/>
              <w:color w:val="auto"/>
              <w:sz w:val="32"/>
              <w:szCs w:val="32"/>
              <w:highlight w:val="none"/>
              <w:lang w:val="en-US" w:eastAsia="zh-CN"/>
            </w:rPr>
            <w:fldChar w:fldCharType="end"/>
          </w:r>
          <w:r>
            <w:rPr>
              <w:rFonts w:hint="default" w:ascii="黑体" w:hAnsi="黑体" w:eastAsia="黑体" w:cs="黑体"/>
              <w:color w:val="auto"/>
              <w:sz w:val="32"/>
              <w:szCs w:val="32"/>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_Toc15925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4.1 质量管理体系</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_Toc15925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30</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_Toc16548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4.2 各防治分区水土保持工程质量评定</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_Toc16548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35</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color w:val="auto"/>
              <w:highlight w:val="none"/>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_Toc31445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4.3 总体质量评价</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_Toc31445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35</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6"/>
            <w:tabs>
              <w:tab w:val="right" w:leader="dot" w:pos="8306"/>
            </w:tabs>
            <w:rPr>
              <w:color w:val="auto"/>
              <w:highlight w:val="none"/>
            </w:rPr>
          </w:pP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HYPERLINK \l _Toc3282 </w:instrText>
          </w:r>
          <w:r>
            <w:rPr>
              <w:rFonts w:hint="default" w:ascii="黑体" w:hAnsi="黑体" w:eastAsia="黑体" w:cs="黑体"/>
              <w:color w:val="auto"/>
              <w:sz w:val="32"/>
              <w:szCs w:val="32"/>
              <w:highlight w:val="none"/>
              <w:lang w:val="en-US" w:eastAsia="zh-CN"/>
            </w:rPr>
            <w:fldChar w:fldCharType="separate"/>
          </w:r>
          <w:r>
            <w:rPr>
              <w:rFonts w:hint="default" w:ascii="黑体" w:hAnsi="黑体" w:eastAsia="黑体" w:cs="黑体"/>
              <w:color w:val="auto"/>
              <w:sz w:val="32"/>
              <w:szCs w:val="32"/>
              <w:highlight w:val="none"/>
              <w:lang w:val="en-US" w:eastAsia="zh-CN"/>
            </w:rPr>
            <w:t>5 项目初期运行及水土保持效果</w:t>
          </w:r>
          <w:r>
            <w:rPr>
              <w:rFonts w:hint="default" w:ascii="黑体" w:hAnsi="黑体" w:eastAsia="黑体" w:cs="黑体"/>
              <w:color w:val="auto"/>
              <w:sz w:val="32"/>
              <w:szCs w:val="32"/>
              <w:highlight w:val="none"/>
              <w:lang w:val="en-US" w:eastAsia="zh-CN"/>
            </w:rPr>
            <w:tab/>
          </w: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PAGEREF _Toc3282 \h </w:instrText>
          </w:r>
          <w:r>
            <w:rPr>
              <w:rFonts w:hint="default" w:ascii="黑体" w:hAnsi="黑体" w:eastAsia="黑体" w:cs="黑体"/>
              <w:color w:val="auto"/>
              <w:sz w:val="32"/>
              <w:szCs w:val="32"/>
              <w:highlight w:val="none"/>
              <w:lang w:val="en-US" w:eastAsia="zh-CN"/>
            </w:rPr>
            <w:fldChar w:fldCharType="separate"/>
          </w:r>
          <w:r>
            <w:rPr>
              <w:rFonts w:hint="default" w:ascii="黑体" w:hAnsi="黑体" w:eastAsia="黑体" w:cs="黑体"/>
              <w:color w:val="auto"/>
              <w:sz w:val="32"/>
              <w:szCs w:val="32"/>
              <w:highlight w:val="none"/>
              <w:lang w:val="en-US" w:eastAsia="zh-CN"/>
            </w:rPr>
            <w:t>37</w:t>
          </w:r>
          <w:r>
            <w:rPr>
              <w:rFonts w:hint="default" w:ascii="黑体" w:hAnsi="黑体" w:eastAsia="黑体" w:cs="黑体"/>
              <w:color w:val="auto"/>
              <w:sz w:val="32"/>
              <w:szCs w:val="32"/>
              <w:highlight w:val="none"/>
              <w:lang w:val="en-US" w:eastAsia="zh-CN"/>
            </w:rPr>
            <w:fldChar w:fldCharType="end"/>
          </w:r>
          <w:r>
            <w:rPr>
              <w:rFonts w:hint="default" w:ascii="黑体" w:hAnsi="黑体" w:eastAsia="黑体" w:cs="黑体"/>
              <w:color w:val="auto"/>
              <w:sz w:val="32"/>
              <w:szCs w:val="32"/>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_Toc803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5.1初期运行效果</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_Toc803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37</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_Toc13461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5.2 水土保持效果</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_Toc13461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37</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color w:val="auto"/>
              <w:highlight w:val="none"/>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_Toc24127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5.3 公众满意度调查</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_Toc24127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40</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6"/>
            <w:tabs>
              <w:tab w:val="right" w:leader="dot" w:pos="8306"/>
            </w:tabs>
            <w:rPr>
              <w:color w:val="auto"/>
              <w:highlight w:val="none"/>
            </w:rPr>
          </w:pP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HYPERLINK \l _Toc30128 </w:instrText>
          </w:r>
          <w:r>
            <w:rPr>
              <w:rFonts w:hint="default" w:ascii="黑体" w:hAnsi="黑体" w:eastAsia="黑体" w:cs="黑体"/>
              <w:color w:val="auto"/>
              <w:sz w:val="32"/>
              <w:szCs w:val="32"/>
              <w:highlight w:val="none"/>
              <w:lang w:val="en-US" w:eastAsia="zh-CN"/>
            </w:rPr>
            <w:fldChar w:fldCharType="separate"/>
          </w:r>
          <w:r>
            <w:rPr>
              <w:rFonts w:hint="default" w:ascii="黑体" w:hAnsi="黑体" w:eastAsia="黑体" w:cs="黑体"/>
              <w:color w:val="auto"/>
              <w:sz w:val="32"/>
              <w:szCs w:val="32"/>
              <w:highlight w:val="none"/>
              <w:lang w:val="en-US" w:eastAsia="zh-CN"/>
            </w:rPr>
            <w:t>6 水土保持管理</w:t>
          </w:r>
          <w:r>
            <w:rPr>
              <w:rFonts w:hint="default" w:ascii="黑体" w:hAnsi="黑体" w:eastAsia="黑体" w:cs="黑体"/>
              <w:color w:val="auto"/>
              <w:sz w:val="32"/>
              <w:szCs w:val="32"/>
              <w:highlight w:val="none"/>
              <w:lang w:val="en-US" w:eastAsia="zh-CN"/>
            </w:rPr>
            <w:tab/>
          </w: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PAGEREF _Toc30128 \h </w:instrText>
          </w:r>
          <w:r>
            <w:rPr>
              <w:rFonts w:hint="default" w:ascii="黑体" w:hAnsi="黑体" w:eastAsia="黑体" w:cs="黑体"/>
              <w:color w:val="auto"/>
              <w:sz w:val="32"/>
              <w:szCs w:val="32"/>
              <w:highlight w:val="none"/>
              <w:lang w:val="en-US" w:eastAsia="zh-CN"/>
            </w:rPr>
            <w:fldChar w:fldCharType="separate"/>
          </w:r>
          <w:r>
            <w:rPr>
              <w:rFonts w:hint="default" w:ascii="黑体" w:hAnsi="黑体" w:eastAsia="黑体" w:cs="黑体"/>
              <w:color w:val="auto"/>
              <w:sz w:val="32"/>
              <w:szCs w:val="32"/>
              <w:highlight w:val="none"/>
              <w:lang w:val="en-US" w:eastAsia="zh-CN"/>
            </w:rPr>
            <w:t>41</w:t>
          </w:r>
          <w:r>
            <w:rPr>
              <w:rFonts w:hint="default" w:ascii="黑体" w:hAnsi="黑体" w:eastAsia="黑体" w:cs="黑体"/>
              <w:color w:val="auto"/>
              <w:sz w:val="32"/>
              <w:szCs w:val="32"/>
              <w:highlight w:val="none"/>
              <w:lang w:val="en-US" w:eastAsia="zh-CN"/>
            </w:rPr>
            <w:fldChar w:fldCharType="end"/>
          </w:r>
          <w:r>
            <w:rPr>
              <w:rFonts w:hint="default" w:ascii="黑体" w:hAnsi="黑体" w:eastAsia="黑体" w:cs="黑体"/>
              <w:color w:val="auto"/>
              <w:sz w:val="32"/>
              <w:szCs w:val="32"/>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_Toc18117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6.1 组织管理</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_Toc18117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41</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_Toc20286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6.2 规章制度</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_Toc20286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41</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_Toc15576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6.3 建设管理</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_Toc15576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42</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_Toc12395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6.4 水土保持监测</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_Toc12395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43</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_Toc27716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6.5 水土保持监理</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_Toc27716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43</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_Toc20977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6.6 水行政主管部门监督检查意见落实情况</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_Toc20977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44</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_Toc32367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6.7 水土保持补偿费缴纳情况</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_Toc32367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45</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color w:val="auto"/>
              <w:highlight w:val="none"/>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_Toc9427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6.8  水土保持设施管理维护</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_Toc9427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45</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6"/>
            <w:tabs>
              <w:tab w:val="right" w:leader="dot" w:pos="8306"/>
            </w:tabs>
            <w:rPr>
              <w:rFonts w:hint="default" w:ascii="黑体" w:hAnsi="黑体" w:eastAsia="黑体" w:cs="黑体"/>
              <w:color w:val="auto"/>
              <w:sz w:val="32"/>
              <w:szCs w:val="32"/>
              <w:highlight w:val="none"/>
              <w:lang w:val="en-US" w:eastAsia="zh-CN"/>
            </w:rPr>
          </w:pP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HYPERLINK \l _Toc8384 </w:instrText>
          </w:r>
          <w:r>
            <w:rPr>
              <w:rFonts w:hint="default" w:ascii="黑体" w:hAnsi="黑体" w:eastAsia="黑体" w:cs="黑体"/>
              <w:color w:val="auto"/>
              <w:sz w:val="32"/>
              <w:szCs w:val="32"/>
              <w:highlight w:val="none"/>
              <w:lang w:val="en-US" w:eastAsia="zh-CN"/>
            </w:rPr>
            <w:fldChar w:fldCharType="separate"/>
          </w:r>
          <w:r>
            <w:rPr>
              <w:rFonts w:hint="default" w:ascii="黑体" w:hAnsi="黑体" w:eastAsia="黑体" w:cs="黑体"/>
              <w:color w:val="auto"/>
              <w:sz w:val="32"/>
              <w:szCs w:val="32"/>
              <w:highlight w:val="none"/>
              <w:lang w:val="en-US" w:eastAsia="zh-CN"/>
            </w:rPr>
            <w:t>7 结论</w:t>
          </w:r>
          <w:r>
            <w:rPr>
              <w:rFonts w:hint="default" w:ascii="黑体" w:hAnsi="黑体" w:eastAsia="黑体" w:cs="黑体"/>
              <w:color w:val="auto"/>
              <w:sz w:val="32"/>
              <w:szCs w:val="32"/>
              <w:highlight w:val="none"/>
              <w:lang w:val="en-US" w:eastAsia="zh-CN"/>
            </w:rPr>
            <w:tab/>
          </w: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PAGEREF _Toc8384 \h </w:instrText>
          </w:r>
          <w:r>
            <w:rPr>
              <w:rFonts w:hint="default" w:ascii="黑体" w:hAnsi="黑体" w:eastAsia="黑体" w:cs="黑体"/>
              <w:color w:val="auto"/>
              <w:sz w:val="32"/>
              <w:szCs w:val="32"/>
              <w:highlight w:val="none"/>
              <w:lang w:val="en-US" w:eastAsia="zh-CN"/>
            </w:rPr>
            <w:fldChar w:fldCharType="separate"/>
          </w:r>
          <w:r>
            <w:rPr>
              <w:rFonts w:hint="default" w:ascii="黑体" w:hAnsi="黑体" w:eastAsia="黑体" w:cs="黑体"/>
              <w:color w:val="auto"/>
              <w:sz w:val="32"/>
              <w:szCs w:val="32"/>
              <w:highlight w:val="none"/>
              <w:lang w:val="en-US" w:eastAsia="zh-CN"/>
            </w:rPr>
            <w:t>46</w:t>
          </w:r>
          <w:r>
            <w:rPr>
              <w:rFonts w:hint="default" w:ascii="黑体" w:hAnsi="黑体" w:eastAsia="黑体" w:cs="黑体"/>
              <w:color w:val="auto"/>
              <w:sz w:val="32"/>
              <w:szCs w:val="32"/>
              <w:highlight w:val="none"/>
              <w:lang w:val="en-US" w:eastAsia="zh-CN"/>
            </w:rPr>
            <w:fldChar w:fldCharType="end"/>
          </w:r>
          <w:r>
            <w:rPr>
              <w:rFonts w:hint="default" w:ascii="黑体" w:hAnsi="黑体" w:eastAsia="黑体" w:cs="黑体"/>
              <w:color w:val="auto"/>
              <w:sz w:val="32"/>
              <w:szCs w:val="32"/>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_Toc18333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7.1 水土保持措施评价</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_Toc18333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46</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_Toc2888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7.2 存在的问题与建议</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_Toc2888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46</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color w:val="auto"/>
              <w:highlight w:val="none"/>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_Toc16112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7.3 综合结论</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_Toc16112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46</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6"/>
            <w:tabs>
              <w:tab w:val="right" w:leader="dot" w:pos="8306"/>
            </w:tabs>
            <w:rPr>
              <w:rFonts w:hint="default" w:ascii="黑体" w:hAnsi="黑体" w:eastAsia="黑体" w:cs="黑体"/>
              <w:color w:val="auto"/>
              <w:sz w:val="32"/>
              <w:szCs w:val="32"/>
              <w:highlight w:val="none"/>
              <w:lang w:val="en-US" w:eastAsia="zh-CN"/>
            </w:rPr>
          </w:pP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HYPERLINK \l _Toc29108 </w:instrText>
          </w:r>
          <w:r>
            <w:rPr>
              <w:rFonts w:hint="default" w:ascii="黑体" w:hAnsi="黑体" w:eastAsia="黑体" w:cs="黑体"/>
              <w:color w:val="auto"/>
              <w:sz w:val="32"/>
              <w:szCs w:val="32"/>
              <w:highlight w:val="none"/>
              <w:lang w:val="en-US" w:eastAsia="zh-CN"/>
            </w:rPr>
            <w:fldChar w:fldCharType="separate"/>
          </w:r>
          <w:r>
            <w:rPr>
              <w:rFonts w:hint="eastAsia" w:ascii="黑体" w:hAnsi="黑体" w:eastAsia="黑体" w:cs="黑体"/>
              <w:color w:val="auto"/>
              <w:sz w:val="32"/>
              <w:szCs w:val="32"/>
              <w:highlight w:val="none"/>
              <w:lang w:val="en-US" w:eastAsia="zh-CN"/>
            </w:rPr>
            <w:t>8 附件及附图</w:t>
          </w:r>
          <w:r>
            <w:rPr>
              <w:rFonts w:hint="default" w:ascii="黑体" w:hAnsi="黑体" w:eastAsia="黑体" w:cs="黑体"/>
              <w:color w:val="auto"/>
              <w:sz w:val="32"/>
              <w:szCs w:val="32"/>
              <w:highlight w:val="none"/>
              <w:lang w:val="en-US" w:eastAsia="zh-CN"/>
            </w:rPr>
            <w:tab/>
          </w:r>
          <w:r>
            <w:rPr>
              <w:rFonts w:hint="default" w:ascii="黑体" w:hAnsi="黑体" w:eastAsia="黑体" w:cs="黑体"/>
              <w:color w:val="auto"/>
              <w:sz w:val="32"/>
              <w:szCs w:val="32"/>
              <w:highlight w:val="none"/>
              <w:lang w:val="en-US" w:eastAsia="zh-CN"/>
            </w:rPr>
            <w:fldChar w:fldCharType="begin"/>
          </w:r>
          <w:r>
            <w:rPr>
              <w:rFonts w:hint="default" w:ascii="黑体" w:hAnsi="黑体" w:eastAsia="黑体" w:cs="黑体"/>
              <w:color w:val="auto"/>
              <w:sz w:val="32"/>
              <w:szCs w:val="32"/>
              <w:highlight w:val="none"/>
              <w:lang w:val="en-US" w:eastAsia="zh-CN"/>
            </w:rPr>
            <w:instrText xml:space="preserve"> PAGEREF _Toc29108 \h </w:instrText>
          </w:r>
          <w:r>
            <w:rPr>
              <w:rFonts w:hint="default" w:ascii="黑体" w:hAnsi="黑体" w:eastAsia="黑体" w:cs="黑体"/>
              <w:color w:val="auto"/>
              <w:sz w:val="32"/>
              <w:szCs w:val="32"/>
              <w:highlight w:val="none"/>
              <w:lang w:val="en-US" w:eastAsia="zh-CN"/>
            </w:rPr>
            <w:fldChar w:fldCharType="separate"/>
          </w:r>
          <w:r>
            <w:rPr>
              <w:rFonts w:hint="default" w:ascii="黑体" w:hAnsi="黑体" w:eastAsia="黑体" w:cs="黑体"/>
              <w:color w:val="auto"/>
              <w:sz w:val="32"/>
              <w:szCs w:val="32"/>
              <w:highlight w:val="none"/>
              <w:lang w:val="en-US" w:eastAsia="zh-CN"/>
            </w:rPr>
            <w:t>48</w:t>
          </w:r>
          <w:r>
            <w:rPr>
              <w:rFonts w:hint="default" w:ascii="黑体" w:hAnsi="黑体" w:eastAsia="黑体" w:cs="黑体"/>
              <w:color w:val="auto"/>
              <w:sz w:val="32"/>
              <w:szCs w:val="32"/>
              <w:highlight w:val="none"/>
              <w:lang w:val="en-US" w:eastAsia="zh-CN"/>
            </w:rPr>
            <w:fldChar w:fldCharType="end"/>
          </w:r>
          <w:r>
            <w:rPr>
              <w:rFonts w:hint="default" w:ascii="黑体" w:hAnsi="黑体" w:eastAsia="黑体" w:cs="黑体"/>
              <w:color w:val="auto"/>
              <w:sz w:val="32"/>
              <w:szCs w:val="32"/>
              <w:highlight w:val="none"/>
              <w:lang w:val="en-US" w:eastAsia="zh-CN"/>
            </w:rPr>
            <w:fldChar w:fldCharType="end"/>
          </w:r>
        </w:p>
        <w:p>
          <w:pPr>
            <w:pStyle w:val="17"/>
            <w:tabs>
              <w:tab w:val="right" w:leader="dot" w:pos="8306"/>
            </w:tabs>
            <w:rPr>
              <w:rFonts w:hint="default" w:ascii="仿宋" w:hAnsi="仿宋" w:eastAsia="仿宋" w:cs="仿宋"/>
              <w:color w:val="auto"/>
              <w:sz w:val="28"/>
              <w:szCs w:val="28"/>
              <w:highlight w:val="none"/>
              <w:lang w:val="en-US" w:eastAsia="zh-CN"/>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_Toc21283 </w:instrText>
          </w:r>
          <w:r>
            <w:rPr>
              <w:rFonts w:hint="default"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8.1附件</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_Toc21283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48</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pStyle w:val="17"/>
            <w:tabs>
              <w:tab w:val="right" w:leader="dot" w:pos="8306"/>
            </w:tabs>
            <w:rPr>
              <w:color w:val="auto"/>
              <w:highlight w:val="none"/>
            </w:rPr>
          </w:pP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HYPERLINK \l _Toc22737 </w:instrText>
          </w:r>
          <w:r>
            <w:rPr>
              <w:rFonts w:hint="default" w:ascii="仿宋" w:hAnsi="仿宋" w:eastAsia="仿宋" w:cs="仿宋"/>
              <w:color w:val="auto"/>
              <w:sz w:val="28"/>
              <w:szCs w:val="28"/>
              <w:highlight w:val="none"/>
              <w:lang w:val="en-US" w:eastAsia="zh-CN"/>
            </w:rPr>
            <w:fldChar w:fldCharType="separate"/>
          </w:r>
          <w:r>
            <w:rPr>
              <w:rFonts w:hint="eastAsia" w:ascii="仿宋" w:hAnsi="仿宋" w:eastAsia="仿宋" w:cs="仿宋"/>
              <w:color w:val="auto"/>
              <w:sz w:val="28"/>
              <w:szCs w:val="28"/>
              <w:highlight w:val="none"/>
              <w:lang w:val="en-US" w:eastAsia="zh-CN"/>
            </w:rPr>
            <w:t>8.2 附图</w:t>
          </w:r>
          <w:r>
            <w:rPr>
              <w:rFonts w:hint="default" w:ascii="仿宋" w:hAnsi="仿宋" w:eastAsia="仿宋" w:cs="仿宋"/>
              <w:color w:val="auto"/>
              <w:sz w:val="28"/>
              <w:szCs w:val="28"/>
              <w:highlight w:val="none"/>
              <w:lang w:val="en-US" w:eastAsia="zh-CN"/>
            </w:rPr>
            <w:tab/>
          </w:r>
          <w:r>
            <w:rPr>
              <w:rFonts w:hint="default" w:ascii="仿宋" w:hAnsi="仿宋" w:eastAsia="仿宋" w:cs="仿宋"/>
              <w:color w:val="auto"/>
              <w:sz w:val="28"/>
              <w:szCs w:val="28"/>
              <w:highlight w:val="none"/>
              <w:lang w:val="en-US" w:eastAsia="zh-CN"/>
            </w:rPr>
            <w:fldChar w:fldCharType="begin"/>
          </w:r>
          <w:r>
            <w:rPr>
              <w:rFonts w:hint="default" w:ascii="仿宋" w:hAnsi="仿宋" w:eastAsia="仿宋" w:cs="仿宋"/>
              <w:color w:val="auto"/>
              <w:sz w:val="28"/>
              <w:szCs w:val="28"/>
              <w:highlight w:val="none"/>
              <w:lang w:val="en-US" w:eastAsia="zh-CN"/>
            </w:rPr>
            <w:instrText xml:space="preserve"> PAGEREF _Toc22737 \h </w:instrText>
          </w:r>
          <w:r>
            <w:rPr>
              <w:rFonts w:hint="default" w:ascii="仿宋" w:hAnsi="仿宋" w:eastAsia="仿宋" w:cs="仿宋"/>
              <w:color w:val="auto"/>
              <w:sz w:val="28"/>
              <w:szCs w:val="28"/>
              <w:highlight w:val="none"/>
              <w:lang w:val="en-US" w:eastAsia="zh-CN"/>
            </w:rPr>
            <w:fldChar w:fldCharType="separate"/>
          </w:r>
          <w:r>
            <w:rPr>
              <w:rFonts w:hint="default" w:ascii="仿宋" w:hAnsi="仿宋" w:eastAsia="仿宋" w:cs="仿宋"/>
              <w:color w:val="auto"/>
              <w:sz w:val="28"/>
              <w:szCs w:val="28"/>
              <w:highlight w:val="none"/>
              <w:lang w:val="en-US" w:eastAsia="zh-CN"/>
            </w:rPr>
            <w:t>54</w:t>
          </w:r>
          <w:r>
            <w:rPr>
              <w:rFonts w:hint="default" w:ascii="仿宋" w:hAnsi="仿宋" w:eastAsia="仿宋" w:cs="仿宋"/>
              <w:color w:val="auto"/>
              <w:sz w:val="28"/>
              <w:szCs w:val="28"/>
              <w:highlight w:val="none"/>
              <w:lang w:val="en-US" w:eastAsia="zh-CN"/>
            </w:rPr>
            <w:fldChar w:fldCharType="end"/>
          </w:r>
          <w:r>
            <w:rPr>
              <w:rFonts w:hint="default" w:ascii="仿宋" w:hAnsi="仿宋" w:eastAsia="仿宋" w:cs="仿宋"/>
              <w:color w:val="auto"/>
              <w:sz w:val="28"/>
              <w:szCs w:val="28"/>
              <w:highlight w:val="none"/>
              <w:lang w:val="en-US" w:eastAsia="zh-CN"/>
            </w:rPr>
            <w:fldChar w:fldCharType="end"/>
          </w:r>
        </w:p>
        <w:p>
          <w:pPr>
            <w:bidi w:val="0"/>
            <w:spacing w:before="0" w:beforeLines="0" w:after="0" w:afterLines="0" w:line="240" w:lineRule="auto"/>
            <w:ind w:left="0" w:leftChars="0" w:right="0" w:rightChars="0" w:firstLine="0" w:firstLineChars="0"/>
            <w:jc w:val="center"/>
            <w:outlineLvl w:val="9"/>
            <w:rPr>
              <w:rFonts w:hint="default" w:ascii="Times New Roman" w:hAnsi="Times New Roman" w:cs="Times New Roman"/>
              <w:color w:val="auto"/>
              <w:highlight w:val="none"/>
              <w:lang w:val="en-US" w:eastAsia="zh-CN"/>
            </w:rPr>
            <w:sectPr>
              <w:headerReference r:id="rId24" w:type="default"/>
              <w:footerReference r:id="rId25" w:type="default"/>
              <w:pgSz w:w="11906" w:h="16838"/>
              <w:pgMar w:top="1440" w:right="1440" w:bottom="1440" w:left="1440" w:header="851" w:footer="992" w:gutter="0"/>
              <w:pgNumType w:fmt="decimal" w:start="1"/>
              <w:cols w:space="425" w:num="1"/>
              <w:docGrid w:type="lines" w:linePitch="312" w:charSpace="0"/>
            </w:sectPr>
          </w:pPr>
          <w:r>
            <w:rPr>
              <w:rFonts w:hint="default" w:ascii="Times New Roman" w:hAnsi="Times New Roman" w:cs="Times New Roman"/>
              <w:b/>
              <w:color w:val="auto"/>
              <w:highlight w:val="none"/>
              <w:lang w:val="en-US" w:eastAsia="zh-CN"/>
            </w:rPr>
            <w:fldChar w:fldCharType="end"/>
          </w:r>
        </w:p>
      </w:sdtContent>
    </w:sdt>
    <w:p>
      <w:pPr>
        <w:pStyle w:val="2"/>
        <w:bidi w:val="0"/>
        <w:spacing w:line="360" w:lineRule="auto"/>
        <w:jc w:val="left"/>
        <w:rPr>
          <w:rFonts w:hint="default" w:ascii="Times New Roman" w:hAnsi="Times New Roman" w:cs="Times New Roman"/>
          <w:color w:val="auto"/>
          <w:highlight w:val="none"/>
          <w:lang w:val="en-US" w:eastAsia="zh-CN"/>
        </w:rPr>
      </w:pPr>
      <w:bookmarkStart w:id="377" w:name="_Toc8821"/>
      <w:r>
        <w:rPr>
          <w:rFonts w:hint="default" w:ascii="Times New Roman" w:hAnsi="Times New Roman" w:cs="Times New Roman"/>
          <w:color w:val="auto"/>
          <w:highlight w:val="none"/>
          <w:lang w:val="en-US" w:eastAsia="zh-CN"/>
        </w:rPr>
        <w:t>前言</w:t>
      </w:r>
      <w:bookmarkEnd w:id="37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衡阳市位于</w:t>
      </w:r>
      <w:r>
        <w:rPr>
          <w:rFonts w:hint="default" w:ascii="Times New Roman" w:hAnsi="Times New Roman" w:cs="Times New Roman"/>
          <w:color w:val="auto"/>
          <w:highlight w:val="none"/>
        </w:rPr>
        <w:t>湖南省中南部，湘江中游，衡山之南。地处东经110°32′16″~113°16′32″之间，北纬26°07′05″~27°28′24″之间。东邻株洲市攸县，南接郴州市安仁县、永兴县、桂阳县，西毗永州市冷水滩区、祁阳县以及邵阳市邵东县，北靠娄底市双峰县和湘潭市湘潭县。南北长150公里、东西宽173公里。衡阳市总面积15310平方公里。项目区位于主城区东侧，酃湖保护圈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lang w:val="en-US" w:eastAsia="zh-CN"/>
        </w:rPr>
        <w:t>项目建设规模为</w:t>
      </w:r>
      <w:r>
        <w:rPr>
          <w:rFonts w:hint="default" w:ascii="Times New Roman" w:hAnsi="Times New Roman" w:cs="Times New Roman"/>
          <w:color w:val="auto"/>
          <w:highlight w:val="none"/>
        </w:rPr>
        <w:t>工程需开挖土石方总量为</w:t>
      </w:r>
      <w:r>
        <w:rPr>
          <w:rFonts w:hint="default" w:ascii="Times New Roman" w:hAnsi="Times New Roman" w:cs="Times New Roman"/>
          <w:color w:val="auto"/>
          <w:highlight w:val="none"/>
          <w:lang w:val="en-US" w:eastAsia="zh-CN"/>
        </w:rPr>
        <w:t>5.</w:t>
      </w:r>
      <w:r>
        <w:rPr>
          <w:rFonts w:hint="default" w:ascii="Times New Roman" w:hAnsi="Times New Roman" w:cs="Times New Roman"/>
          <w:color w:val="auto"/>
          <w:highlight w:val="none"/>
        </w:rPr>
        <w:t>02万m3，填方总量12.7</w:t>
      </w:r>
      <w:r>
        <w:rPr>
          <w:rFonts w:hint="default" w:ascii="Times New Roman" w:hAnsi="Times New Roman" w:cs="Times New Roman"/>
          <w:color w:val="auto"/>
          <w:highlight w:val="none"/>
          <w:lang w:val="en-US" w:eastAsia="zh-CN"/>
        </w:rPr>
        <w:t>4</w:t>
      </w:r>
      <w:r>
        <w:rPr>
          <w:rFonts w:hint="default" w:ascii="Times New Roman" w:hAnsi="Times New Roman" w:cs="Times New Roman"/>
          <w:color w:val="auto"/>
          <w:highlight w:val="none"/>
        </w:rPr>
        <w:t>万m3，借方12.74万m3</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沿线借方向规划渣场运得，设置施工生产场地1处。项目总占地</w:t>
      </w:r>
      <w:r>
        <w:rPr>
          <w:rFonts w:hint="default" w:ascii="Times New Roman" w:hAnsi="Times New Roman" w:cs="Times New Roman"/>
          <w:color w:val="auto"/>
          <w:highlight w:val="none"/>
          <w:lang w:val="en-US" w:eastAsia="zh-CN"/>
        </w:rPr>
        <w:t>8.51</w:t>
      </w:r>
      <w:r>
        <w:rPr>
          <w:rFonts w:hint="default" w:ascii="Times New Roman" w:hAnsi="Times New Roman" w:cs="Times New Roman"/>
          <w:color w:val="auto"/>
          <w:highlight w:val="none"/>
        </w:rPr>
        <w:t>hm²，主要原地貌类型为水塘、</w:t>
      </w:r>
      <w:r>
        <w:rPr>
          <w:rFonts w:hint="default" w:ascii="Times New Roman" w:hAnsi="Times New Roman" w:cs="Times New Roman"/>
          <w:color w:val="auto"/>
          <w:highlight w:val="none"/>
          <w:lang w:val="en-US" w:eastAsia="zh-CN"/>
        </w:rPr>
        <w:t>经济</w:t>
      </w:r>
      <w:r>
        <w:rPr>
          <w:rFonts w:hint="default" w:ascii="Times New Roman" w:hAnsi="Times New Roman" w:cs="Times New Roman"/>
          <w:color w:val="auto"/>
          <w:highlight w:val="none"/>
        </w:rPr>
        <w:t>林、荒地，分别约占工程占地总面积的</w:t>
      </w:r>
      <w:r>
        <w:rPr>
          <w:rFonts w:hint="default" w:ascii="Times New Roman" w:hAnsi="Times New Roman" w:cs="Times New Roman"/>
          <w:color w:val="auto"/>
          <w:highlight w:val="none"/>
          <w:lang w:val="en-US" w:eastAsia="zh-CN"/>
        </w:rPr>
        <w:t>19.74</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21.03</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53.23</w:t>
      </w:r>
      <w:r>
        <w:rPr>
          <w:rFonts w:hint="default" w:ascii="Times New Roman" w:hAnsi="Times New Roman" w:cs="Times New Roman"/>
          <w:color w:val="auto"/>
          <w:highlight w:val="none"/>
        </w:rPr>
        <w:t>%；总用地面积中，永久占地5.21hm²，临时占地</w:t>
      </w:r>
      <w:r>
        <w:rPr>
          <w:rFonts w:hint="default" w:ascii="Times New Roman" w:hAnsi="Times New Roman" w:cs="Times New Roman"/>
          <w:color w:val="auto"/>
          <w:highlight w:val="none"/>
          <w:lang w:val="en-US" w:eastAsia="zh-CN"/>
        </w:rPr>
        <w:t>3.3</w:t>
      </w:r>
      <w:r>
        <w:rPr>
          <w:rFonts w:hint="default" w:ascii="Times New Roman" w:hAnsi="Times New Roman" w:cs="Times New Roman"/>
          <w:color w:val="auto"/>
          <w:highlight w:val="none"/>
        </w:rPr>
        <w:t>hm²</w:t>
      </w:r>
      <w:r>
        <w:rPr>
          <w:rFonts w:hint="default" w:ascii="Times New Roman" w:hAnsi="Times New Roman" w:cs="Times New Roman"/>
          <w:color w:val="auto"/>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2016年10月</w:t>
      </w:r>
      <w:r>
        <w:rPr>
          <w:rFonts w:hint="default" w:ascii="Times New Roman" w:hAnsi="Times New Roman" w:cs="Times New Roman"/>
          <w:color w:val="auto"/>
          <w:highlight w:val="none"/>
        </w:rPr>
        <w:t xml:space="preserve">建设单位委托我单位开展水土保持监测工作。项目实施期间，监测人员每季度开展一次现场监测、布设监测点 4 个，完成监测季报 </w:t>
      </w:r>
      <w:r>
        <w:rPr>
          <w:rFonts w:hint="default" w:ascii="Times New Roman" w:hAnsi="Times New Roman" w:cs="Times New Roman"/>
          <w:color w:val="auto"/>
          <w:highlight w:val="none"/>
          <w:lang w:val="en-US" w:eastAsia="zh-CN"/>
        </w:rPr>
        <w:t>1</w:t>
      </w:r>
      <w:r>
        <w:rPr>
          <w:rFonts w:hint="default" w:ascii="Times New Roman" w:hAnsi="Times New Roman" w:cs="Times New Roman"/>
          <w:color w:val="auto"/>
          <w:highlight w:val="none"/>
        </w:rPr>
        <w:t>期，监测总结报告 1 份。</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根据工程总体布置情况，结合各水土流失防治区内的水土流失特点，将项目的主体工程区分为主体工程区、</w:t>
      </w:r>
      <w:r>
        <w:rPr>
          <w:rFonts w:hint="default" w:ascii="Times New Roman" w:hAnsi="Times New Roman" w:cs="Times New Roman"/>
          <w:color w:val="auto"/>
          <w:highlight w:val="none"/>
          <w:lang w:val="en-US" w:eastAsia="zh-CN"/>
        </w:rPr>
        <w:t>附属设施</w:t>
      </w:r>
      <w:r>
        <w:rPr>
          <w:rFonts w:hint="default" w:ascii="Times New Roman" w:hAnsi="Times New Roman" w:cs="Times New Roman"/>
          <w:color w:val="auto"/>
          <w:highlight w:val="none"/>
        </w:rPr>
        <w:t>区、</w:t>
      </w:r>
      <w:r>
        <w:rPr>
          <w:rFonts w:hint="default" w:ascii="Times New Roman" w:hAnsi="Times New Roman" w:cs="Times New Roman"/>
          <w:color w:val="auto"/>
          <w:highlight w:val="none"/>
          <w:lang w:val="en-US" w:eastAsia="zh-CN"/>
        </w:rPr>
        <w:t>施工便道</w:t>
      </w:r>
      <w:r>
        <w:rPr>
          <w:rFonts w:hint="default" w:ascii="Times New Roman" w:hAnsi="Times New Roman" w:cs="Times New Roman"/>
          <w:color w:val="auto"/>
          <w:highlight w:val="none"/>
        </w:rPr>
        <w:t>区、</w:t>
      </w:r>
      <w:r>
        <w:rPr>
          <w:rFonts w:hint="default" w:ascii="Times New Roman" w:hAnsi="Times New Roman" w:cs="Times New Roman"/>
          <w:color w:val="auto"/>
          <w:highlight w:val="none"/>
          <w:lang w:val="en-US" w:eastAsia="zh-CN"/>
        </w:rPr>
        <w:t>施工生产生活</w:t>
      </w:r>
      <w:r>
        <w:rPr>
          <w:rFonts w:hint="default" w:ascii="Times New Roman" w:hAnsi="Times New Roman" w:cs="Times New Roman"/>
          <w:color w:val="auto"/>
          <w:highlight w:val="none"/>
        </w:rPr>
        <w:t>区</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取土场区、弃渣场区、临时堆土区</w:t>
      </w:r>
      <w:r>
        <w:rPr>
          <w:rFonts w:hint="default" w:ascii="Times New Roman" w:hAnsi="Times New Roman" w:cs="Times New Roman"/>
          <w:color w:val="auto"/>
          <w:highlight w:val="none"/>
        </w:rPr>
        <w:t xml:space="preserve"> </w:t>
      </w:r>
      <w:r>
        <w:rPr>
          <w:rFonts w:hint="default" w:ascii="Times New Roman" w:hAnsi="Times New Roman" w:cs="Times New Roman"/>
          <w:color w:val="auto"/>
          <w:highlight w:val="none"/>
          <w:lang w:val="en-US" w:eastAsia="zh-CN"/>
        </w:rPr>
        <w:t>7</w:t>
      </w:r>
      <w:r>
        <w:rPr>
          <w:rFonts w:hint="default" w:ascii="Times New Roman" w:hAnsi="Times New Roman" w:cs="Times New Roman"/>
          <w:color w:val="auto"/>
          <w:highlight w:val="none"/>
        </w:rPr>
        <w:t xml:space="preserve"> 个防治分区。</w:t>
      </w:r>
    </w:p>
    <w:p>
      <w:p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br w:type="page"/>
      </w:r>
    </w:p>
    <w:p>
      <w:pPr>
        <w:pStyle w:val="2"/>
        <w:bidi w:val="0"/>
        <w:spacing w:line="360" w:lineRule="auto"/>
        <w:rPr>
          <w:rFonts w:hint="default" w:ascii="Times New Roman" w:hAnsi="Times New Roman" w:cs="Times New Roman"/>
          <w:color w:val="auto"/>
          <w:highlight w:val="none"/>
          <w:lang w:val="en-US" w:eastAsia="zh-CN"/>
        </w:rPr>
        <w:sectPr>
          <w:headerReference r:id="rId26" w:type="default"/>
          <w:pgSz w:w="11906" w:h="16838"/>
          <w:pgMar w:top="1440" w:right="1440" w:bottom="1440" w:left="1440" w:header="851" w:footer="992" w:gutter="0"/>
          <w:pgNumType w:fmt="decimal"/>
          <w:cols w:space="425" w:num="1"/>
          <w:docGrid w:type="lines" w:linePitch="312" w:charSpace="0"/>
        </w:sectPr>
      </w:pPr>
    </w:p>
    <w:p>
      <w:pPr>
        <w:pStyle w:val="2"/>
        <w:bidi w:val="0"/>
        <w:spacing w:line="360" w:lineRule="auto"/>
        <w:rPr>
          <w:rFonts w:hint="default" w:ascii="Times New Roman" w:hAnsi="Times New Roman" w:cs="Times New Roman"/>
          <w:color w:val="auto"/>
          <w:highlight w:val="none"/>
          <w:lang w:val="en-US" w:eastAsia="zh-CN"/>
        </w:rPr>
      </w:pPr>
      <w:bookmarkStart w:id="378" w:name="_Toc31053"/>
      <w:r>
        <w:rPr>
          <w:rFonts w:hint="default" w:ascii="Times New Roman" w:hAnsi="Times New Roman" w:cs="Times New Roman"/>
          <w:color w:val="auto"/>
          <w:highlight w:val="none"/>
          <w:lang w:val="en-US" w:eastAsia="zh-CN"/>
        </w:rPr>
        <w:t>1 项目及项目区概括</w:t>
      </w:r>
      <w:bookmarkEnd w:id="378"/>
    </w:p>
    <w:p>
      <w:pPr>
        <w:pStyle w:val="3"/>
        <w:bidi w:val="0"/>
        <w:spacing w:line="360" w:lineRule="auto"/>
        <w:rPr>
          <w:rFonts w:hint="default" w:ascii="Times New Roman" w:hAnsi="Times New Roman" w:cs="Times New Roman"/>
          <w:color w:val="auto"/>
          <w:highlight w:val="none"/>
          <w:lang w:val="en-US" w:eastAsia="zh-CN"/>
        </w:rPr>
      </w:pPr>
      <w:bookmarkStart w:id="379" w:name="_Toc15886"/>
      <w:r>
        <w:rPr>
          <w:rFonts w:hint="default" w:ascii="Times New Roman" w:hAnsi="Times New Roman" w:cs="Times New Roman"/>
          <w:color w:val="auto"/>
          <w:highlight w:val="none"/>
          <w:lang w:val="en-US" w:eastAsia="zh-CN"/>
        </w:rPr>
        <w:t>1.1 项目概括</w:t>
      </w:r>
      <w:bookmarkEnd w:id="379"/>
    </w:p>
    <w:p>
      <w:pPr>
        <w:pStyle w:val="4"/>
        <w:bidi w:val="0"/>
        <w:spacing w:line="360" w:lineRule="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1.1.1 地理位置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kern w:val="0"/>
          <w:highlight w:val="none"/>
        </w:rPr>
      </w:pPr>
      <w:r>
        <w:rPr>
          <w:rFonts w:hint="default" w:ascii="Times New Roman" w:hAnsi="Times New Roman" w:cs="Times New Roman"/>
          <w:color w:val="auto"/>
          <w:kern w:val="0"/>
          <w:highlight w:val="none"/>
        </w:rPr>
        <w:t>衡阳位于湖南省中南部，湘江中游，衡山之南。地处东经110°32′16″~113°16′32″之间，北纬26°07′05″~27°28′24″之间。东邻株洲市攸县，南接郴州市安仁县、永兴县、桂阳县，西毗永州市冷水滩区、祁阳县以及邵阳市邵东县，北靠娄底市双峰县和湘潭市湘潭县。南北长150公里、东西宽173公里。衡阳市总面积15310平方公里。项目区位于主城区东侧，酃湖保护圈内。</w:t>
      </w:r>
    </w:p>
    <w:p>
      <w:pPr>
        <w:pStyle w:val="4"/>
        <w:bidi w:val="0"/>
        <w:spacing w:line="360" w:lineRule="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1.1.2 主要技术指标</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项目名称：华天路新建工程项目</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建设单位：衡阳市城市建设投资有限公司</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建设地点：湖南省衡阳市珠晖区华天路</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kern w:val="0"/>
          <w:highlight w:val="none"/>
          <w:lang w:val="en-US" w:eastAsia="zh-CN"/>
        </w:rPr>
      </w:pPr>
      <w:r>
        <w:rPr>
          <w:rFonts w:hint="default" w:ascii="Times New Roman" w:hAnsi="Times New Roman" w:cs="Times New Roman"/>
          <w:color w:val="auto"/>
          <w:highlight w:val="none"/>
          <w:lang w:val="en-US" w:eastAsia="zh-CN"/>
        </w:rPr>
        <w:t>主要任务：</w:t>
      </w:r>
      <w:r>
        <w:rPr>
          <w:rFonts w:hint="default" w:ascii="Times New Roman" w:hAnsi="Times New Roman" w:cs="Times New Roman"/>
          <w:color w:val="auto"/>
          <w:kern w:val="0"/>
          <w:highlight w:val="none"/>
        </w:rPr>
        <w:t>工程需开挖土石方总量为</w:t>
      </w:r>
      <w:r>
        <w:rPr>
          <w:rFonts w:hint="default" w:ascii="Times New Roman" w:hAnsi="Times New Roman" w:cs="Times New Roman"/>
          <w:color w:val="auto"/>
          <w:kern w:val="0"/>
          <w:highlight w:val="none"/>
          <w:lang w:val="en-US" w:eastAsia="zh-CN"/>
        </w:rPr>
        <w:t>5.</w:t>
      </w:r>
      <w:r>
        <w:rPr>
          <w:rFonts w:hint="default" w:ascii="Times New Roman" w:hAnsi="Times New Roman" w:cs="Times New Roman"/>
          <w:color w:val="auto"/>
          <w:kern w:val="0"/>
          <w:highlight w:val="none"/>
        </w:rPr>
        <w:t>02万</w:t>
      </w:r>
      <w:r>
        <w:rPr>
          <w:rFonts w:hint="default" w:ascii="Times New Roman" w:hAnsi="Times New Roman" w:cs="Times New Roman"/>
          <w:color w:val="auto"/>
          <w:kern w:val="0"/>
          <w:highlight w:val="none"/>
          <w:lang w:val="en-US" w:eastAsia="zh-CN"/>
        </w:rPr>
        <w:t>m</w:t>
      </w:r>
      <w:r>
        <w:rPr>
          <w:rFonts w:hint="default" w:ascii="Times New Roman" w:hAnsi="Times New Roman" w:cs="Times New Roman"/>
          <w:color w:val="auto"/>
          <w:kern w:val="0"/>
          <w:highlight w:val="none"/>
          <w:vertAlign w:val="superscript"/>
          <w:lang w:val="en-US" w:eastAsia="zh-CN"/>
        </w:rPr>
        <w:t>3</w:t>
      </w:r>
      <w:r>
        <w:rPr>
          <w:rFonts w:hint="default" w:ascii="Times New Roman" w:hAnsi="Times New Roman" w:cs="Times New Roman"/>
          <w:color w:val="auto"/>
          <w:kern w:val="0"/>
          <w:highlight w:val="none"/>
          <w:lang w:val="en-US" w:eastAsia="zh-CN"/>
        </w:rPr>
        <w:t>，填方总量12.74万m</w:t>
      </w:r>
      <w:r>
        <w:rPr>
          <w:rFonts w:hint="default" w:ascii="Times New Roman" w:hAnsi="Times New Roman" w:cs="Times New Roman"/>
          <w:color w:val="auto"/>
          <w:kern w:val="0"/>
          <w:highlight w:val="none"/>
          <w:vertAlign w:val="superscript"/>
          <w:lang w:val="en-US" w:eastAsia="zh-CN"/>
        </w:rPr>
        <w:t>3</w:t>
      </w:r>
      <w:r>
        <w:rPr>
          <w:rFonts w:hint="default" w:ascii="Times New Roman" w:hAnsi="Times New Roman" w:cs="Times New Roman"/>
          <w:color w:val="auto"/>
          <w:kern w:val="0"/>
          <w:highlight w:val="none"/>
          <w:lang w:val="en-US" w:eastAsia="zh-CN"/>
        </w:rPr>
        <w:t>，借方12.74万m</w:t>
      </w:r>
      <w:r>
        <w:rPr>
          <w:rFonts w:hint="default" w:ascii="Times New Roman" w:hAnsi="Times New Roman" w:cs="Times New Roman"/>
          <w:color w:val="auto"/>
          <w:kern w:val="0"/>
          <w:highlight w:val="none"/>
          <w:vertAlign w:val="superscript"/>
          <w:lang w:val="en-US" w:eastAsia="zh-CN"/>
        </w:rPr>
        <w:t>3</w:t>
      </w:r>
      <w:r>
        <w:rPr>
          <w:rFonts w:hint="default" w:ascii="Times New Roman" w:hAnsi="Times New Roman" w:cs="Times New Roman"/>
          <w:color w:val="auto"/>
          <w:kern w:val="0"/>
          <w:highlight w:val="none"/>
          <w:lang w:val="en-US" w:eastAsia="zh-CN"/>
        </w:rPr>
        <w:t>，弃方总量5.02万m</w:t>
      </w:r>
      <w:r>
        <w:rPr>
          <w:rFonts w:hint="default" w:ascii="Times New Roman" w:hAnsi="Times New Roman" w:cs="Times New Roman"/>
          <w:color w:val="auto"/>
          <w:kern w:val="0"/>
          <w:highlight w:val="none"/>
          <w:vertAlign w:val="superscript"/>
          <w:lang w:val="en-US" w:eastAsia="zh-CN"/>
        </w:rPr>
        <w:t>3</w:t>
      </w:r>
      <w:r>
        <w:rPr>
          <w:rFonts w:hint="default" w:ascii="Times New Roman" w:hAnsi="Times New Roman" w:cs="Times New Roman"/>
          <w:color w:val="auto"/>
          <w:kern w:val="0"/>
          <w:highlight w:val="none"/>
          <w:lang w:val="en-US" w:eastAsia="zh-CN"/>
        </w:rPr>
        <w:t>。在临时堆土区临时堆放保存表土0.74万m³。沿线弃渣运至规划弃渣场，项目总占地8.51hm²，主要原地貌类型为水塘、经济林、荒地，分别约占工程占地总面积的19.74%、21.03%、53.23%，总用地面积中，永久占地5.21hm²，临时占地3.3hm²。</w:t>
      </w:r>
    </w:p>
    <w:p>
      <w:pPr>
        <w:keepNext w:val="0"/>
        <w:keepLines w:val="0"/>
        <w:pageBreakBefore w:val="0"/>
        <w:widowControl w:val="0"/>
        <w:kinsoku/>
        <w:wordWrap/>
        <w:overflowPunct/>
        <w:topLinePunct w:val="0"/>
        <w:autoSpaceDE/>
        <w:autoSpaceDN/>
        <w:bidi w:val="0"/>
        <w:adjustRightInd/>
        <w:snapToGrid/>
        <w:spacing w:line="480" w:lineRule="auto"/>
        <w:jc w:val="center"/>
        <w:textAlignment w:val="auto"/>
        <w:rPr>
          <w:rFonts w:hint="default" w:ascii="Times New Roman" w:hAnsi="Times New Roman" w:cs="Times New Roman"/>
          <w:color w:val="auto"/>
          <w:kern w:val="0"/>
          <w:highlight w:val="none"/>
          <w:lang w:val="en-US" w:eastAsia="zh-CN"/>
        </w:rPr>
      </w:pPr>
      <w:r>
        <w:rPr>
          <w:rFonts w:hint="default" w:ascii="Times New Roman" w:hAnsi="Times New Roman" w:cs="Times New Roman"/>
          <w:b/>
          <w:bCs/>
          <w:color w:val="auto"/>
          <w:kern w:val="0"/>
          <w:highlight w:val="none"/>
          <w:lang w:val="en-US" w:eastAsia="zh-CN"/>
        </w:rPr>
        <w:t>华天路新建工程项目特性表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064"/>
        <w:gridCol w:w="1065"/>
        <w:gridCol w:w="709"/>
        <w:gridCol w:w="889"/>
        <w:gridCol w:w="311"/>
        <w:gridCol w:w="1440"/>
        <w:gridCol w:w="912"/>
        <w:gridCol w:w="854"/>
        <w:gridCol w:w="212"/>
        <w:gridCol w:w="10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522" w:type="dxa"/>
            <w:gridSpan w:val="10"/>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一、项目的基本情况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1</w:t>
            </w:r>
          </w:p>
        </w:tc>
        <w:tc>
          <w:tcPr>
            <w:tcW w:w="1065"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项目名称</w:t>
            </w:r>
          </w:p>
        </w:tc>
        <w:tc>
          <w:tcPr>
            <w:tcW w:w="6393" w:type="dxa"/>
            <w:gridSpan w:val="8"/>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衡阳华天路道路工程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2</w:t>
            </w:r>
          </w:p>
        </w:tc>
        <w:tc>
          <w:tcPr>
            <w:tcW w:w="1065"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建设地点</w:t>
            </w:r>
          </w:p>
        </w:tc>
        <w:tc>
          <w:tcPr>
            <w:tcW w:w="3349" w:type="dxa"/>
            <w:gridSpan w:val="4"/>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湖南省衡阳市珠晖区</w:t>
            </w:r>
          </w:p>
        </w:tc>
        <w:tc>
          <w:tcPr>
            <w:tcW w:w="912"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所在流域</w:t>
            </w:r>
          </w:p>
        </w:tc>
        <w:tc>
          <w:tcPr>
            <w:tcW w:w="2132" w:type="dxa"/>
            <w:gridSpan w:val="3"/>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长江流域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3</w:t>
            </w:r>
          </w:p>
        </w:tc>
        <w:tc>
          <w:tcPr>
            <w:tcW w:w="1065"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工程等级</w:t>
            </w:r>
          </w:p>
        </w:tc>
        <w:tc>
          <w:tcPr>
            <w:tcW w:w="709"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一等</w:t>
            </w:r>
          </w:p>
        </w:tc>
        <w:tc>
          <w:tcPr>
            <w:tcW w:w="1200" w:type="dxa"/>
            <w:gridSpan w:val="2"/>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公路等级</w:t>
            </w:r>
          </w:p>
        </w:tc>
        <w:tc>
          <w:tcPr>
            <w:tcW w:w="1440"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城市次干道</w:t>
            </w:r>
          </w:p>
        </w:tc>
        <w:tc>
          <w:tcPr>
            <w:tcW w:w="912"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4</w:t>
            </w:r>
          </w:p>
        </w:tc>
        <w:tc>
          <w:tcPr>
            <w:tcW w:w="1066" w:type="dxa"/>
            <w:gridSpan w:val="2"/>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工程性质</w:t>
            </w:r>
          </w:p>
        </w:tc>
        <w:tc>
          <w:tcPr>
            <w:tcW w:w="1066"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新建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5</w:t>
            </w:r>
          </w:p>
        </w:tc>
        <w:tc>
          <w:tcPr>
            <w:tcW w:w="1065" w:type="dxa"/>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编制单位</w:t>
            </w:r>
          </w:p>
        </w:tc>
        <w:tc>
          <w:tcPr>
            <w:tcW w:w="6393" w:type="dxa"/>
            <w:gridSpan w:val="8"/>
            <w:vAlign w:val="center"/>
          </w:tcPr>
          <w:p>
            <w:pPr>
              <w:jc w:val="center"/>
              <w:rPr>
                <w:rFonts w:hint="default" w:ascii="Times New Roman" w:hAnsi="Times New Roman" w:eastAsia="仿宋"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湖南华意项目管理有限公司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6</w:t>
            </w:r>
          </w:p>
        </w:tc>
        <w:tc>
          <w:tcPr>
            <w:tcW w:w="1065"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建设单位</w:t>
            </w:r>
          </w:p>
        </w:tc>
        <w:tc>
          <w:tcPr>
            <w:tcW w:w="6393" w:type="dxa"/>
            <w:gridSpan w:val="8"/>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衡阳市城市建设投资有限公司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7</w:t>
            </w:r>
          </w:p>
        </w:tc>
        <w:tc>
          <w:tcPr>
            <w:tcW w:w="1065"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建设规模</w:t>
            </w:r>
          </w:p>
        </w:tc>
        <w:tc>
          <w:tcPr>
            <w:tcW w:w="159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里程长度</w:t>
            </w:r>
          </w:p>
        </w:tc>
        <w:tc>
          <w:tcPr>
            <w:tcW w:w="4795" w:type="dxa"/>
            <w:gridSpan w:val="6"/>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长85m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p>
        </w:tc>
        <w:tc>
          <w:tcPr>
            <w:tcW w:w="1065"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p>
        </w:tc>
        <w:tc>
          <w:tcPr>
            <w:tcW w:w="159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路基宽度</w:t>
            </w:r>
          </w:p>
        </w:tc>
        <w:tc>
          <w:tcPr>
            <w:tcW w:w="1751"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30m</w:t>
            </w:r>
          </w:p>
        </w:tc>
        <w:tc>
          <w:tcPr>
            <w:tcW w:w="1766"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路面宽度</w:t>
            </w:r>
          </w:p>
        </w:tc>
        <w:tc>
          <w:tcPr>
            <w:tcW w:w="127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30m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p>
        </w:tc>
        <w:tc>
          <w:tcPr>
            <w:tcW w:w="1065"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p>
        </w:tc>
        <w:tc>
          <w:tcPr>
            <w:tcW w:w="159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路面结构类型</w:t>
            </w:r>
          </w:p>
        </w:tc>
        <w:tc>
          <w:tcPr>
            <w:tcW w:w="1751"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沥青混凝土路面</w:t>
            </w:r>
          </w:p>
        </w:tc>
        <w:tc>
          <w:tcPr>
            <w:tcW w:w="1766"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设计洪水频率</w:t>
            </w:r>
          </w:p>
        </w:tc>
        <w:tc>
          <w:tcPr>
            <w:tcW w:w="127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P=50%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p>
        </w:tc>
        <w:tc>
          <w:tcPr>
            <w:tcW w:w="1065"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p>
        </w:tc>
        <w:tc>
          <w:tcPr>
            <w:tcW w:w="159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排水管道</w:t>
            </w:r>
          </w:p>
        </w:tc>
        <w:tc>
          <w:tcPr>
            <w:tcW w:w="1751"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885m</w:t>
            </w:r>
          </w:p>
        </w:tc>
        <w:tc>
          <w:tcPr>
            <w:tcW w:w="1766"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污水管道</w:t>
            </w:r>
          </w:p>
        </w:tc>
        <w:tc>
          <w:tcPr>
            <w:tcW w:w="127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885m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p>
        </w:tc>
        <w:tc>
          <w:tcPr>
            <w:tcW w:w="1065"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p>
        </w:tc>
        <w:tc>
          <w:tcPr>
            <w:tcW w:w="159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亮化工程</w:t>
            </w:r>
          </w:p>
        </w:tc>
        <w:tc>
          <w:tcPr>
            <w:tcW w:w="1751"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885m</w:t>
            </w:r>
          </w:p>
        </w:tc>
        <w:tc>
          <w:tcPr>
            <w:tcW w:w="1766"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公交车站</w:t>
            </w:r>
          </w:p>
        </w:tc>
        <w:tc>
          <w:tcPr>
            <w:tcW w:w="127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4个</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p>
        </w:tc>
        <w:tc>
          <w:tcPr>
            <w:tcW w:w="1065"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p>
        </w:tc>
        <w:tc>
          <w:tcPr>
            <w:tcW w:w="159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平面交叉</w:t>
            </w:r>
          </w:p>
        </w:tc>
        <w:tc>
          <w:tcPr>
            <w:tcW w:w="1751"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2处</w:t>
            </w:r>
          </w:p>
        </w:tc>
        <w:tc>
          <w:tcPr>
            <w:tcW w:w="1766"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景观绿化</w:t>
            </w:r>
          </w:p>
        </w:tc>
        <w:tc>
          <w:tcPr>
            <w:tcW w:w="127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2800㎡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p>
        </w:tc>
        <w:tc>
          <w:tcPr>
            <w:tcW w:w="1065"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p>
        </w:tc>
        <w:tc>
          <w:tcPr>
            <w:tcW w:w="159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施工便道</w:t>
            </w:r>
          </w:p>
        </w:tc>
        <w:tc>
          <w:tcPr>
            <w:tcW w:w="1751"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50m，1条</w:t>
            </w:r>
          </w:p>
        </w:tc>
        <w:tc>
          <w:tcPr>
            <w:tcW w:w="1766"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施工生产生活区</w:t>
            </w:r>
          </w:p>
        </w:tc>
        <w:tc>
          <w:tcPr>
            <w:tcW w:w="127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0.2㎡/1处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8</w:t>
            </w:r>
          </w:p>
        </w:tc>
        <w:tc>
          <w:tcPr>
            <w:tcW w:w="1065"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总投资</w:t>
            </w:r>
          </w:p>
        </w:tc>
        <w:tc>
          <w:tcPr>
            <w:tcW w:w="159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4976.35万元</w:t>
            </w:r>
          </w:p>
        </w:tc>
        <w:tc>
          <w:tcPr>
            <w:tcW w:w="1751"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9</w:t>
            </w:r>
          </w:p>
        </w:tc>
        <w:tc>
          <w:tcPr>
            <w:tcW w:w="1766"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土建投资</w:t>
            </w:r>
          </w:p>
        </w:tc>
        <w:tc>
          <w:tcPr>
            <w:tcW w:w="1278" w:type="dxa"/>
            <w:gridSpan w:val="2"/>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3187万元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64"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10</w:t>
            </w:r>
          </w:p>
        </w:tc>
        <w:tc>
          <w:tcPr>
            <w:tcW w:w="1065" w:type="dxa"/>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建设期</w:t>
            </w:r>
          </w:p>
        </w:tc>
        <w:tc>
          <w:tcPr>
            <w:tcW w:w="6393" w:type="dxa"/>
            <w:gridSpan w:val="8"/>
            <w:vAlign w:val="center"/>
          </w:tcPr>
          <w:p>
            <w:pPr>
              <w:jc w:val="center"/>
              <w:rPr>
                <w:rFonts w:hint="default" w:ascii="Times New Roman" w:hAnsi="Times New Roman" w:cs="Times New Roman"/>
                <w:color w:val="auto"/>
                <w:kern w:val="0"/>
                <w:sz w:val="21"/>
                <w:szCs w:val="21"/>
                <w:highlight w:val="none"/>
                <w:vertAlign w:val="baseline"/>
                <w:lang w:val="en-US" w:eastAsia="zh-CN"/>
              </w:rPr>
            </w:pPr>
            <w:r>
              <w:rPr>
                <w:rFonts w:hint="default" w:ascii="Times New Roman" w:hAnsi="Times New Roman" w:cs="Times New Roman"/>
                <w:color w:val="auto"/>
                <w:kern w:val="0"/>
                <w:sz w:val="21"/>
                <w:szCs w:val="21"/>
                <w:highlight w:val="none"/>
                <w:vertAlign w:val="baseline"/>
                <w:lang w:val="en-US" w:eastAsia="zh-CN"/>
              </w:rPr>
              <w:t>2016年10月开工至2017月5月结束，总工期8个月</w:t>
            </w:r>
          </w:p>
        </w:tc>
      </w:tr>
    </w:tbl>
    <w:p>
      <w:pPr>
        <w:jc w:val="center"/>
        <w:rPr>
          <w:rFonts w:hint="default" w:ascii="Times New Roman" w:hAnsi="Times New Roman" w:cs="Times New Roman"/>
          <w:b/>
          <w:bCs/>
          <w:color w:val="auto"/>
          <w:kern w:val="0"/>
          <w:highlight w:val="none"/>
          <w:lang w:val="en-US" w:eastAsia="zh-CN"/>
        </w:rPr>
      </w:pPr>
      <w:r>
        <w:rPr>
          <w:rFonts w:hint="default" w:ascii="Times New Roman" w:hAnsi="Times New Roman" w:cs="Times New Roman"/>
          <w:b/>
          <w:bCs/>
          <w:color w:val="auto"/>
          <w:kern w:val="0"/>
          <w:highlight w:val="none"/>
          <w:lang w:val="en-US" w:eastAsia="zh-CN"/>
        </w:rPr>
        <w:t>项目组成及主要技术指标</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项目组成</w:t>
            </w:r>
          </w:p>
        </w:tc>
        <w:tc>
          <w:tcPr>
            <w:tcW w:w="6818" w:type="dxa"/>
            <w:gridSpan w:val="4"/>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占地面积（hm</w:t>
            </w:r>
            <w:r>
              <w:rPr>
                <w:rFonts w:hint="default" w:ascii="Times New Roman" w:hAnsi="Times New Roman" w:cs="Times New Roman"/>
                <w:b w:val="0"/>
                <w:bCs w:val="0"/>
                <w:color w:val="auto"/>
                <w:kern w:val="0"/>
                <w:sz w:val="21"/>
                <w:szCs w:val="21"/>
                <w:highlight w:val="none"/>
                <w:vertAlign w:val="superscript"/>
                <w:lang w:val="en-US" w:eastAsia="zh-CN"/>
              </w:rPr>
              <w:t>2</w:t>
            </w:r>
            <w:r>
              <w:rPr>
                <w:rFonts w:hint="default" w:ascii="Times New Roman" w:hAnsi="Times New Roman" w:cs="Times New Roman"/>
                <w:b w:val="0"/>
                <w:bCs w:val="0"/>
                <w:color w:val="auto"/>
                <w:kern w:val="0"/>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合计</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永久占地</w:t>
            </w: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临时占地</w:t>
            </w: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主体工程区</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3.8</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3.8</w:t>
            </w: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附属建设区</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1.41</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1.41</w:t>
            </w: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施工便道区</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0.05</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0.05</w:t>
            </w: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施工生产生活区</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0.2</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0.2</w:t>
            </w: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取土场区</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2</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2</w:t>
            </w: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弃渣场区</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0.84</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0.84</w:t>
            </w: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临时堆土区</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0.21</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0.21</w:t>
            </w: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占地合计</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8.51</w:t>
            </w:r>
          </w:p>
        </w:tc>
        <w:tc>
          <w:tcPr>
            <w:tcW w:w="1704"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3.3</w:t>
            </w:r>
          </w:p>
        </w:tc>
        <w:tc>
          <w:tcPr>
            <w:tcW w:w="1705" w:type="dxa"/>
            <w:vAlign w:val="center"/>
          </w:tcPr>
          <w:p>
            <w:pPr>
              <w:jc w:val="center"/>
              <w:rPr>
                <w:rFonts w:hint="default" w:ascii="Times New Roman" w:hAnsi="Times New Roman" w:eastAsia="仿宋" w:cs="Times New Roman"/>
                <w:b w:val="0"/>
                <w:bCs w:val="0"/>
                <w:color w:val="auto"/>
                <w:kern w:val="0"/>
                <w:sz w:val="21"/>
                <w:szCs w:val="21"/>
                <w:highlight w:val="none"/>
                <w:vertAlign w:val="baseline"/>
                <w:lang w:val="en-US" w:eastAsia="zh-CN"/>
              </w:rPr>
            </w:pPr>
          </w:p>
        </w:tc>
      </w:tr>
    </w:tbl>
    <w:p>
      <w:pPr>
        <w:jc w:val="center"/>
        <w:rPr>
          <w:rFonts w:hint="default" w:ascii="Times New Roman" w:hAnsi="Times New Roman" w:cs="Times New Roman"/>
          <w:b w:val="0"/>
          <w:bCs w:val="0"/>
          <w:color w:val="auto"/>
          <w:kern w:val="0"/>
          <w:highlight w:val="none"/>
          <w:lang w:val="en-US" w:eastAsia="zh-CN"/>
        </w:rPr>
      </w:pPr>
      <w:r>
        <w:rPr>
          <w:rFonts w:hint="default" w:ascii="Times New Roman" w:hAnsi="Times New Roman" w:cs="Times New Roman"/>
          <w:b/>
          <w:bCs/>
          <w:color w:val="auto"/>
          <w:kern w:val="0"/>
          <w:highlight w:val="none"/>
          <w:lang w:val="en-US" w:eastAsia="zh-CN"/>
        </w:rPr>
        <w:t>项目土石方挖填工程量（万m³）</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7"/>
        <w:gridCol w:w="1217"/>
        <w:gridCol w:w="1217"/>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项目分段</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挖方</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填方</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借方</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弃方</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表土</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主体工程</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5.02</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12.74</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12.74</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5.02</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1.473</w:t>
            </w:r>
          </w:p>
        </w:tc>
        <w:tc>
          <w:tcPr>
            <w:tcW w:w="1218" w:type="dxa"/>
            <w:vMerge w:val="restart"/>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部分表土用于绿化回覆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施工便道</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0.016</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0.001</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0.015</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w:t>
            </w:r>
          </w:p>
        </w:tc>
        <w:tc>
          <w:tcPr>
            <w:tcW w:w="1218" w:type="dxa"/>
            <w:vMerge w:val="continue"/>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弃渣场</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0.401</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0.144</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0.256</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0.200</w:t>
            </w:r>
          </w:p>
        </w:tc>
        <w:tc>
          <w:tcPr>
            <w:tcW w:w="1218" w:type="dxa"/>
            <w:vMerge w:val="continue"/>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取土场</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0.94</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0.333</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0.607</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0.300</w:t>
            </w:r>
          </w:p>
        </w:tc>
        <w:tc>
          <w:tcPr>
            <w:tcW w:w="1218" w:type="dxa"/>
            <w:vMerge w:val="continue"/>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合计</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6.377</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13.220</w:t>
            </w:r>
          </w:p>
        </w:tc>
        <w:tc>
          <w:tcPr>
            <w:tcW w:w="1217"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12.742</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5.902</w:t>
            </w:r>
          </w:p>
        </w:tc>
        <w:tc>
          <w:tcPr>
            <w:tcW w:w="1218" w:type="dxa"/>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r>
              <w:rPr>
                <w:rFonts w:hint="default" w:ascii="Times New Roman" w:hAnsi="Times New Roman" w:cs="Times New Roman"/>
                <w:b w:val="0"/>
                <w:bCs w:val="0"/>
                <w:color w:val="auto"/>
                <w:kern w:val="0"/>
                <w:sz w:val="21"/>
                <w:szCs w:val="21"/>
                <w:highlight w:val="none"/>
                <w:vertAlign w:val="baseline"/>
                <w:lang w:val="en-US" w:eastAsia="zh-CN"/>
              </w:rPr>
              <w:t>1.973</w:t>
            </w:r>
          </w:p>
        </w:tc>
        <w:tc>
          <w:tcPr>
            <w:tcW w:w="1218" w:type="dxa"/>
            <w:vMerge w:val="continue"/>
            <w:vAlign w:val="center"/>
          </w:tcPr>
          <w:p>
            <w:pPr>
              <w:jc w:val="center"/>
              <w:rPr>
                <w:rFonts w:hint="default" w:ascii="Times New Roman" w:hAnsi="Times New Roman" w:cs="Times New Roman"/>
                <w:b w:val="0"/>
                <w:bCs w:val="0"/>
                <w:color w:val="auto"/>
                <w:kern w:val="0"/>
                <w:sz w:val="21"/>
                <w:szCs w:val="21"/>
                <w:highlight w:val="none"/>
                <w:vertAlign w:val="baseline"/>
                <w:lang w:val="en-US" w:eastAsia="zh-CN"/>
              </w:rPr>
            </w:pP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1.1.3 项目投资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spacing w:val="-57"/>
          <w:sz w:val="24"/>
          <w:szCs w:val="24"/>
          <w:highlight w:val="none"/>
        </w:rPr>
      </w:pPr>
      <w:r>
        <w:rPr>
          <w:rFonts w:hint="default" w:ascii="Times New Roman" w:hAnsi="Times New Roman" w:eastAsia="仿宋" w:cs="Times New Roman"/>
          <w:color w:val="auto"/>
          <w:sz w:val="24"/>
          <w:szCs w:val="24"/>
          <w:highlight w:val="none"/>
        </w:rPr>
        <w:t>本工程总投资</w:t>
      </w:r>
      <w:r>
        <w:rPr>
          <w:rFonts w:hint="default" w:ascii="Times New Roman" w:hAnsi="Times New Roman" w:eastAsia="仿宋" w:cs="Times New Roman"/>
          <w:color w:val="auto"/>
          <w:spacing w:val="-1"/>
          <w:sz w:val="24"/>
          <w:szCs w:val="24"/>
          <w:highlight w:val="none"/>
        </w:rPr>
        <w:t xml:space="preserve"> </w:t>
      </w:r>
      <w:r>
        <w:rPr>
          <w:rFonts w:hint="default" w:ascii="Times New Roman" w:hAnsi="Times New Roman" w:eastAsia="Times New Roman" w:cs="Times New Roman"/>
          <w:color w:val="auto"/>
          <w:sz w:val="24"/>
          <w:szCs w:val="24"/>
          <w:highlight w:val="none"/>
        </w:rPr>
        <w:t>4</w:t>
      </w:r>
      <w:r>
        <w:rPr>
          <w:rFonts w:hint="default" w:ascii="Times New Roman" w:hAnsi="Times New Roman" w:eastAsia="宋体" w:cs="Times New Roman"/>
          <w:color w:val="auto"/>
          <w:sz w:val="24"/>
          <w:szCs w:val="24"/>
          <w:highlight w:val="none"/>
          <w:lang w:val="en-US" w:eastAsia="zh-CN"/>
        </w:rPr>
        <w:t>975.35</w:t>
      </w:r>
      <w:r>
        <w:rPr>
          <w:rFonts w:hint="default" w:ascii="Times New Roman" w:hAnsi="Times New Roman" w:eastAsia="仿宋" w:cs="Times New Roman"/>
          <w:color w:val="auto"/>
          <w:sz w:val="24"/>
          <w:szCs w:val="24"/>
          <w:highlight w:val="none"/>
        </w:rPr>
        <w:t>万元</w:t>
      </w:r>
      <w:r>
        <w:rPr>
          <w:rFonts w:hint="default" w:ascii="Times New Roman" w:hAnsi="Times New Roman" w:eastAsia="仿宋" w:cs="Times New Roman"/>
          <w:color w:val="auto"/>
          <w:spacing w:val="-19"/>
          <w:sz w:val="24"/>
          <w:szCs w:val="24"/>
          <w:highlight w:val="none"/>
        </w:rPr>
        <w:t>，</w:t>
      </w:r>
      <w:r>
        <w:rPr>
          <w:rFonts w:hint="default" w:ascii="Times New Roman" w:hAnsi="Times New Roman" w:eastAsia="仿宋" w:cs="Times New Roman"/>
          <w:color w:val="auto"/>
          <w:sz w:val="24"/>
          <w:szCs w:val="24"/>
          <w:highlight w:val="none"/>
        </w:rPr>
        <w:t>其中</w:t>
      </w:r>
      <w:r>
        <w:rPr>
          <w:rFonts w:hint="default" w:ascii="Times New Roman" w:hAnsi="Times New Roman" w:eastAsia="仿宋" w:cs="Times New Roman"/>
          <w:color w:val="auto"/>
          <w:spacing w:val="-19"/>
          <w:sz w:val="24"/>
          <w:szCs w:val="24"/>
          <w:highlight w:val="none"/>
        </w:rPr>
        <w:t>，</w:t>
      </w:r>
      <w:r>
        <w:rPr>
          <w:rFonts w:hint="default" w:ascii="Times New Roman" w:hAnsi="Times New Roman" w:eastAsia="仿宋" w:cs="Times New Roman"/>
          <w:color w:val="auto"/>
          <w:sz w:val="24"/>
          <w:szCs w:val="24"/>
          <w:highlight w:val="none"/>
        </w:rPr>
        <w:t xml:space="preserve">土建投资 </w:t>
      </w:r>
      <w:r>
        <w:rPr>
          <w:rFonts w:hint="default" w:ascii="Times New Roman" w:hAnsi="Times New Roman" w:eastAsia="Times New Roman" w:cs="Times New Roman"/>
          <w:color w:val="auto"/>
          <w:sz w:val="24"/>
          <w:szCs w:val="24"/>
          <w:highlight w:val="none"/>
        </w:rPr>
        <w:t>3</w:t>
      </w:r>
      <w:r>
        <w:rPr>
          <w:rFonts w:hint="default" w:ascii="Times New Roman" w:hAnsi="Times New Roman" w:eastAsia="宋体" w:cs="Times New Roman"/>
          <w:color w:val="auto"/>
          <w:sz w:val="24"/>
          <w:szCs w:val="24"/>
          <w:highlight w:val="none"/>
          <w:lang w:val="en-US" w:eastAsia="zh-CN"/>
        </w:rPr>
        <w:t>187</w:t>
      </w:r>
      <w:r>
        <w:rPr>
          <w:rFonts w:hint="default" w:ascii="Times New Roman" w:hAnsi="Times New Roman" w:eastAsia="仿宋" w:cs="Times New Roman"/>
          <w:color w:val="auto"/>
          <w:sz w:val="24"/>
          <w:szCs w:val="24"/>
          <w:highlight w:val="none"/>
        </w:rPr>
        <w:t>万元</w:t>
      </w:r>
      <w:r>
        <w:rPr>
          <w:rFonts w:hint="default" w:ascii="Times New Roman" w:hAnsi="Times New Roman" w:eastAsia="仿宋" w:cs="Times New Roman"/>
          <w:color w:val="auto"/>
          <w:spacing w:val="-19"/>
          <w:sz w:val="24"/>
          <w:szCs w:val="24"/>
          <w:highlight w:val="none"/>
        </w:rPr>
        <w:t>，</w:t>
      </w:r>
      <w:r>
        <w:rPr>
          <w:rFonts w:hint="default" w:ascii="Times New Roman" w:hAnsi="Times New Roman" w:cs="Times New Roman"/>
          <w:color w:val="auto"/>
          <w:spacing w:val="-19"/>
          <w:sz w:val="24"/>
          <w:szCs w:val="24"/>
          <w:highlight w:val="none"/>
          <w:lang w:val="en-US" w:eastAsia="zh-CN"/>
        </w:rPr>
        <w:t>资金通过建设单位自筹解决 。</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1.1.4项目组成及布置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一、项目组成与基本建设内容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本项目永久工程建设内容包括公路主体工程、公路附属设施（路灯、公交车站等以及排水管线工程等），临时工程由施工生产生活区、施工便道区2项内容组成。</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bCs/>
          <w:color w:val="auto"/>
          <w:highlight w:val="none"/>
          <w:lang w:val="en-US" w:eastAsia="zh-CN"/>
        </w:rPr>
      </w:pPr>
      <w:r>
        <w:rPr>
          <w:rFonts w:hint="default" w:ascii="Times New Roman" w:hAnsi="Times New Roman" w:cs="Times New Roman"/>
          <w:b/>
          <w:bCs/>
          <w:color w:val="auto"/>
          <w:highlight w:val="none"/>
          <w:lang w:val="en-US" w:eastAsia="zh-CN"/>
        </w:rPr>
        <w:t>主体工程建设内容及工程量表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序号</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建设内容</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数量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道路工程</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885</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2</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绿化工程</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6000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3</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排水工程</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（1）</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排水管道</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885</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管道排水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（2）</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排污管道</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885</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4</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亮化工程</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b w:val="0"/>
                <w:bCs w:val="0"/>
                <w:color w:val="auto"/>
                <w:sz w:val="21"/>
                <w:szCs w:val="21"/>
                <w:highlight w:val="none"/>
                <w:vertAlign w:val="baseline"/>
                <w:lang w:val="en-US" w:eastAsia="zh-CN"/>
              </w:rPr>
            </w:pPr>
            <w:r>
              <w:rPr>
                <w:rFonts w:hint="default" w:ascii="Times New Roman" w:hAnsi="Times New Roman" w:cs="Times New Roman"/>
                <w:b w:val="0"/>
                <w:bCs w:val="0"/>
                <w:color w:val="auto"/>
                <w:sz w:val="21"/>
                <w:szCs w:val="21"/>
                <w:highlight w:val="none"/>
                <w:vertAlign w:val="baseline"/>
                <w:lang w:val="en-US" w:eastAsia="zh-CN"/>
              </w:rPr>
              <w:t>885</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b w:val="0"/>
                <w:bCs w:val="0"/>
                <w:color w:val="auto"/>
                <w:sz w:val="21"/>
                <w:szCs w:val="21"/>
                <w:highlight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路基工程</w:t>
      </w:r>
    </w:p>
    <w:p>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val="0"/>
          <w:bCs w:val="0"/>
          <w:color w:val="auto"/>
          <w:highlight w:val="none"/>
          <w:lang w:val="en-US" w:eastAsia="zh-CN"/>
        </w:rPr>
      </w:pPr>
      <w:r>
        <w:rPr>
          <w:rFonts w:hint="default" w:ascii="Times New Roman" w:hAnsi="Times New Roman" w:cs="Times New Roman"/>
          <w:b w:val="0"/>
          <w:bCs w:val="0"/>
          <w:color w:val="auto"/>
          <w:highlight w:val="none"/>
          <w:lang w:val="en-US" w:eastAsia="zh-CN"/>
        </w:rPr>
        <w:t>路基横断面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b w:val="0"/>
          <w:bCs w:val="0"/>
          <w:color w:val="auto"/>
          <w:sz w:val="24"/>
          <w:szCs w:val="24"/>
          <w:highlight w:val="none"/>
          <w:vertAlign w:val="baseline"/>
          <w:lang w:val="en-US" w:eastAsia="zh-CN"/>
        </w:rPr>
      </w:pPr>
      <w:r>
        <w:rPr>
          <w:rFonts w:hint="default" w:ascii="Times New Roman" w:hAnsi="Times New Roman" w:cs="Times New Roman"/>
          <w:b w:val="0"/>
          <w:bCs w:val="0"/>
          <w:color w:val="auto"/>
          <w:sz w:val="24"/>
          <w:szCs w:val="24"/>
          <w:highlight w:val="none"/>
          <w:vertAlign w:val="baseline"/>
          <w:lang w:val="en-US" w:eastAsia="zh-CN"/>
        </w:rPr>
        <w:t>本项目为城市次干道，规划路幅宽30m，其中：3.0m（人行道）+2.5m（非机动车道）+2.0m（绿化带）+15.0m（车行道）+2.0m（绿化带）+2.5m（非机动车道）+3.0m（人行道）=30m。</w:t>
      </w:r>
    </w:p>
    <w:p>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cs="Times New Roman"/>
          <w:b w:val="0"/>
          <w:bCs w:val="0"/>
          <w:color w:val="auto"/>
          <w:sz w:val="24"/>
          <w:szCs w:val="24"/>
          <w:highlight w:val="none"/>
          <w:vertAlign w:val="baseline"/>
          <w:lang w:val="en-US" w:eastAsia="zh-CN"/>
        </w:rPr>
      </w:pPr>
      <w:r>
        <w:rPr>
          <w:rFonts w:hint="default" w:ascii="Times New Roman" w:hAnsi="Times New Roman" w:cs="Times New Roman"/>
          <w:b w:val="0"/>
          <w:bCs w:val="0"/>
          <w:color w:val="auto"/>
          <w:sz w:val="24"/>
          <w:szCs w:val="24"/>
          <w:highlight w:val="none"/>
          <w:vertAlign w:val="baseline"/>
          <w:lang w:val="en-US" w:eastAsia="zh-CN"/>
        </w:rPr>
        <w:t>路基纵断面</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jc w:val="both"/>
        <w:textAlignment w:val="auto"/>
        <w:rPr>
          <w:rFonts w:hint="default" w:ascii="Times New Roman" w:hAnsi="Times New Roman" w:cs="Times New Roman"/>
          <w:b w:val="0"/>
          <w:bCs w:val="0"/>
          <w:color w:val="auto"/>
          <w:sz w:val="24"/>
          <w:szCs w:val="24"/>
          <w:highlight w:val="none"/>
          <w:vertAlign w:val="baseline"/>
          <w:lang w:val="en-US" w:eastAsia="zh-CN"/>
        </w:rPr>
      </w:pPr>
      <w:r>
        <w:rPr>
          <w:rFonts w:hint="default" w:ascii="Times New Roman" w:hAnsi="Times New Roman" w:cs="Times New Roman"/>
          <w:b w:val="0"/>
          <w:bCs w:val="0"/>
          <w:color w:val="auto"/>
          <w:sz w:val="24"/>
          <w:szCs w:val="24"/>
          <w:highlight w:val="none"/>
          <w:vertAlign w:val="baseline"/>
          <w:lang w:val="en-US" w:eastAsia="zh-CN"/>
        </w:rPr>
        <w:t>本项目路线总长度为885m，路面最高点高程为58.14m，最低工程为56.035m。</w:t>
      </w:r>
    </w:p>
    <w:p>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cs="Times New Roman"/>
          <w:b w:val="0"/>
          <w:bCs w:val="0"/>
          <w:color w:val="auto"/>
          <w:sz w:val="24"/>
          <w:szCs w:val="24"/>
          <w:highlight w:val="none"/>
          <w:vertAlign w:val="baseline"/>
          <w:lang w:val="en-US" w:eastAsia="zh-CN"/>
        </w:rPr>
      </w:pPr>
      <w:r>
        <w:rPr>
          <w:rFonts w:hint="default" w:ascii="Times New Roman" w:hAnsi="Times New Roman" w:cs="Times New Roman"/>
          <w:b w:val="0"/>
          <w:bCs w:val="0"/>
          <w:color w:val="auto"/>
          <w:sz w:val="24"/>
          <w:szCs w:val="24"/>
          <w:highlight w:val="none"/>
          <w:vertAlign w:val="baseline"/>
          <w:lang w:val="en-US" w:eastAsia="zh-CN"/>
        </w:rPr>
        <w:t>一般路基设计</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仿宋" w:cs="Times New Roman"/>
          <w:b w:val="0"/>
          <w:bCs w:val="0"/>
          <w:color w:val="auto"/>
          <w:sz w:val="24"/>
          <w:szCs w:val="24"/>
          <w:highlight w:val="none"/>
          <w:vertAlign w:val="baseline"/>
          <w:lang w:val="en-US" w:eastAsia="zh-CN"/>
        </w:rPr>
      </w:pPr>
      <w:r>
        <w:rPr>
          <w:rFonts w:hint="default" w:ascii="Times New Roman" w:hAnsi="Times New Roman" w:cs="Times New Roman"/>
          <w:color w:val="auto"/>
          <w:highlight w:val="none"/>
        </w:rPr>
        <w:t>路基设计根据沿线地形、地质、气象、水文等自然条件及环境保护的要求因地制宜，采取必要的排水防护工程和经济有效的防治措施，防止各种不利的因素对路基造成的危害，以保证路基有足够的强度和稳定性。设计标高为道路中心线路面标高。路基设计标高为设计标高减路面厚度。土石方数量计算按路基设计标高控制</w:t>
      </w:r>
      <w:r>
        <w:rPr>
          <w:rFonts w:hint="default" w:ascii="Times New Roman" w:hAnsi="Times New Roman" w:cs="Times New Roman"/>
          <w:color w:val="auto"/>
          <w:highlight w:val="none"/>
          <w:lang w:eastAsia="zh-CN"/>
        </w:rPr>
        <w:t>。</w:t>
      </w:r>
    </w:p>
    <w:p>
      <w:pPr>
        <w:keepNext w:val="0"/>
        <w:keepLines w:val="0"/>
        <w:pageBreakBefore w:val="0"/>
        <w:widowControl w:val="0"/>
        <w:numPr>
          <w:ilvl w:val="0"/>
          <w:numId w:val="18"/>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路基边坡设计</w:t>
      </w:r>
    </w:p>
    <w:p>
      <w:pPr>
        <w:pStyle w:val="22"/>
        <w:spacing w:line="360" w:lineRule="auto"/>
        <w:ind w:firstLine="480"/>
        <w:rPr>
          <w:rFonts w:hint="default" w:ascii="Times New Roman" w:hAnsi="Times New Roman" w:cs="Times New Roman"/>
          <w:color w:val="auto"/>
          <w:highlight w:val="none"/>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填方边坡坡率：8m以内为1：1.5，大于8m为1：1.75。且在坡率变化处设宽2m的碎落台。挖方边坡坡率：路堑土质或强风化岩质边坡为1：1~1：1.5，8m以内边坡为1：1，边坡高度在8~20m内时，边坡为1：1.25，边坡高度＞20m时，坡率为1：1.5，在坡率变化处，均设置2m宽碎落台</w:t>
      </w:r>
      <w:r>
        <w:rPr>
          <w:rFonts w:hint="default" w:ascii="Times New Roman" w:hAnsi="Times New Roman" w:cs="Times New Roman"/>
          <w:color w:val="auto"/>
          <w:highlight w:val="none"/>
        </w:rPr>
        <w:t>。</w:t>
      </w:r>
    </w:p>
    <w:p>
      <w:pPr>
        <w:pStyle w:val="22"/>
        <w:numPr>
          <w:ilvl w:val="0"/>
          <w:numId w:val="18"/>
        </w:numPr>
        <w:spacing w:line="360" w:lineRule="auto"/>
        <w:ind w:left="0" w:leftChars="0" w:firstLine="480" w:firstLineChars="20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路基压实标准与压实度</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路基弯沉值：设计要求≤229(0.01mm)。路床填料应均匀、密实，最大粒径应小于100mm，路床顶面横坡应与路拱横坡一致。路堤填料应选用级配较好的砾类土，砂类土等粗粒土作为填料，填料最大粒径应小于150mm；细粒土作填料时，土的含水量应接近最佳含水量；泥炭、淤泥、冻土、强膨胀土、有机质土及易溶岩超过允许含量的土等，不得直接用于填筑路基。</w:t>
      </w:r>
    </w:p>
    <w:p>
      <w:pPr>
        <w:pStyle w:val="22"/>
        <w:spacing w:line="360" w:lineRule="auto"/>
        <w:ind w:firstLine="480"/>
        <w:rPr>
          <w:rFonts w:hint="default" w:ascii="Times New Roman" w:hAnsi="Times New Roman" w:cs="Times New Roman"/>
          <w:color w:val="auto"/>
          <w:highlight w:val="none"/>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填方路基应分层铺筑、均匀压实，填料应采用指定的料场且经过实验确认后方能铺筑，路基压实度及填料规格应满足下表列数值要求，当填筑无法满足规范要求时，必须及时采取适当的处理或换填措施。</w:t>
      </w:r>
    </w:p>
    <w:p>
      <w:pPr>
        <w:pStyle w:val="22"/>
        <w:spacing w:line="360" w:lineRule="auto"/>
        <w:ind w:firstLine="480"/>
        <w:jc w:val="center"/>
        <w:rPr>
          <w:rFonts w:hint="default" w:ascii="Times New Roman" w:hAnsi="Times New Roman" w:eastAsia="黑体" w:cs="Times New Roman"/>
          <w:bCs/>
          <w:color w:val="auto"/>
          <w:highlight w:val="none"/>
        </w:rPr>
      </w:pPr>
      <w:r>
        <w:rPr>
          <w:rFonts w:hint="default" w:ascii="Times New Roman" w:hAnsi="Times New Roman" w:eastAsia="黑体" w:cs="Times New Roman"/>
          <w:bCs/>
          <w:color w:val="auto"/>
          <w:highlight w:val="none"/>
        </w:rPr>
        <w:t>路基压实度及填料要求表（重型）</w:t>
      </w:r>
    </w:p>
    <w:tbl>
      <w:tblPr>
        <w:tblStyle w:val="1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44"/>
        <w:gridCol w:w="1643"/>
        <w:gridCol w:w="1611"/>
        <w:gridCol w:w="1617"/>
        <w:gridCol w:w="1616"/>
        <w:gridCol w:w="194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01" w:hRule="atLeast"/>
          <w:jc w:val="center"/>
        </w:trPr>
        <w:tc>
          <w:tcPr>
            <w:tcW w:w="2387" w:type="dxa"/>
            <w:gridSpan w:val="2"/>
            <w:noWrap w:val="0"/>
            <w:vAlign w:val="center"/>
          </w:tcPr>
          <w:p>
            <w:pPr>
              <w:pStyle w:val="11"/>
              <w:spacing w:line="360" w:lineRule="auto"/>
              <w:ind w:firstLine="42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填挖类型</w:t>
            </w:r>
          </w:p>
        </w:tc>
        <w:tc>
          <w:tcPr>
            <w:tcW w:w="1611"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路面底面以下深度（cm）</w:t>
            </w:r>
          </w:p>
        </w:tc>
        <w:tc>
          <w:tcPr>
            <w:tcW w:w="1617" w:type="dxa"/>
            <w:noWrap w:val="0"/>
            <w:vAlign w:val="center"/>
          </w:tcPr>
          <w:p>
            <w:pPr>
              <w:pStyle w:val="11"/>
              <w:spacing w:line="360" w:lineRule="auto"/>
              <w:ind w:firstLine="0" w:firstLineChars="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路基压实度（重型，%）</w:t>
            </w:r>
          </w:p>
        </w:tc>
        <w:tc>
          <w:tcPr>
            <w:tcW w:w="1616" w:type="dxa"/>
            <w:noWrap w:val="0"/>
            <w:vAlign w:val="center"/>
          </w:tcPr>
          <w:p>
            <w:pPr>
              <w:pStyle w:val="11"/>
              <w:spacing w:line="360" w:lineRule="auto"/>
              <w:ind w:firstLine="0" w:firstLineChars="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填料最小度（CBR，%）</w:t>
            </w:r>
          </w:p>
        </w:tc>
        <w:tc>
          <w:tcPr>
            <w:tcW w:w="1944" w:type="dxa"/>
            <w:noWrap w:val="0"/>
            <w:vAlign w:val="center"/>
          </w:tcPr>
          <w:p>
            <w:pPr>
              <w:pStyle w:val="11"/>
              <w:spacing w:line="360" w:lineRule="auto"/>
              <w:ind w:left="210" w:hanging="210" w:hangingChars="10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填料最大粒径（cm）</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744" w:type="dxa"/>
            <w:vMerge w:val="restart"/>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填方路基</w:t>
            </w:r>
          </w:p>
        </w:tc>
        <w:tc>
          <w:tcPr>
            <w:tcW w:w="1643"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上路床</w:t>
            </w:r>
          </w:p>
        </w:tc>
        <w:tc>
          <w:tcPr>
            <w:tcW w:w="1611"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0~30</w:t>
            </w:r>
          </w:p>
        </w:tc>
        <w:tc>
          <w:tcPr>
            <w:tcW w:w="1617" w:type="dxa"/>
            <w:noWrap w:val="0"/>
            <w:vAlign w:val="center"/>
          </w:tcPr>
          <w:p>
            <w:pPr>
              <w:pStyle w:val="11"/>
              <w:spacing w:line="360" w:lineRule="auto"/>
              <w:ind w:firstLine="42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≥94</w:t>
            </w:r>
          </w:p>
        </w:tc>
        <w:tc>
          <w:tcPr>
            <w:tcW w:w="1616"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6</w:t>
            </w:r>
          </w:p>
        </w:tc>
        <w:tc>
          <w:tcPr>
            <w:tcW w:w="1944"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744" w:type="dxa"/>
            <w:vMerge w:val="continue"/>
            <w:noWrap w:val="0"/>
            <w:vAlign w:val="center"/>
          </w:tcPr>
          <w:p>
            <w:pPr>
              <w:pStyle w:val="11"/>
              <w:spacing w:line="360" w:lineRule="auto"/>
              <w:ind w:firstLine="420"/>
              <w:jc w:val="center"/>
              <w:rPr>
                <w:rFonts w:hint="default" w:ascii="Times New Roman" w:hAnsi="Times New Roman" w:eastAsia="仿宋" w:cs="Times New Roman"/>
                <w:color w:val="auto"/>
                <w:sz w:val="21"/>
                <w:szCs w:val="21"/>
                <w:highlight w:val="none"/>
              </w:rPr>
            </w:pPr>
          </w:p>
        </w:tc>
        <w:tc>
          <w:tcPr>
            <w:tcW w:w="1643"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下路床</w:t>
            </w:r>
          </w:p>
        </w:tc>
        <w:tc>
          <w:tcPr>
            <w:tcW w:w="1611"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30~80</w:t>
            </w:r>
          </w:p>
        </w:tc>
        <w:tc>
          <w:tcPr>
            <w:tcW w:w="1617" w:type="dxa"/>
            <w:noWrap w:val="0"/>
            <w:vAlign w:val="center"/>
          </w:tcPr>
          <w:p>
            <w:pPr>
              <w:pStyle w:val="11"/>
              <w:spacing w:line="360" w:lineRule="auto"/>
              <w:ind w:firstLine="42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≥94</w:t>
            </w:r>
          </w:p>
        </w:tc>
        <w:tc>
          <w:tcPr>
            <w:tcW w:w="1616"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4</w:t>
            </w:r>
          </w:p>
        </w:tc>
        <w:tc>
          <w:tcPr>
            <w:tcW w:w="1944"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744" w:type="dxa"/>
            <w:vMerge w:val="continue"/>
            <w:noWrap w:val="0"/>
            <w:vAlign w:val="center"/>
          </w:tcPr>
          <w:p>
            <w:pPr>
              <w:pStyle w:val="11"/>
              <w:spacing w:line="360" w:lineRule="auto"/>
              <w:ind w:firstLine="420"/>
              <w:jc w:val="center"/>
              <w:rPr>
                <w:rFonts w:hint="default" w:ascii="Times New Roman" w:hAnsi="Times New Roman" w:eastAsia="仿宋" w:cs="Times New Roman"/>
                <w:color w:val="auto"/>
                <w:sz w:val="21"/>
                <w:szCs w:val="21"/>
                <w:highlight w:val="none"/>
              </w:rPr>
            </w:pPr>
          </w:p>
        </w:tc>
        <w:tc>
          <w:tcPr>
            <w:tcW w:w="1643"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上路堤</w:t>
            </w:r>
          </w:p>
        </w:tc>
        <w:tc>
          <w:tcPr>
            <w:tcW w:w="1611"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80~150</w:t>
            </w:r>
          </w:p>
        </w:tc>
        <w:tc>
          <w:tcPr>
            <w:tcW w:w="1617" w:type="dxa"/>
            <w:noWrap w:val="0"/>
            <w:vAlign w:val="center"/>
          </w:tcPr>
          <w:p>
            <w:pPr>
              <w:pStyle w:val="11"/>
              <w:spacing w:line="360" w:lineRule="auto"/>
              <w:ind w:firstLine="42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≥92</w:t>
            </w:r>
          </w:p>
        </w:tc>
        <w:tc>
          <w:tcPr>
            <w:tcW w:w="1616"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3</w:t>
            </w:r>
          </w:p>
        </w:tc>
        <w:tc>
          <w:tcPr>
            <w:tcW w:w="1944"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744" w:type="dxa"/>
            <w:vMerge w:val="continue"/>
            <w:noWrap w:val="0"/>
            <w:vAlign w:val="center"/>
          </w:tcPr>
          <w:p>
            <w:pPr>
              <w:pStyle w:val="11"/>
              <w:spacing w:line="360" w:lineRule="auto"/>
              <w:ind w:firstLine="420"/>
              <w:jc w:val="center"/>
              <w:rPr>
                <w:rFonts w:hint="default" w:ascii="Times New Roman" w:hAnsi="Times New Roman" w:eastAsia="仿宋" w:cs="Times New Roman"/>
                <w:color w:val="auto"/>
                <w:sz w:val="21"/>
                <w:szCs w:val="21"/>
                <w:highlight w:val="none"/>
              </w:rPr>
            </w:pPr>
          </w:p>
        </w:tc>
        <w:tc>
          <w:tcPr>
            <w:tcW w:w="1643"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下路堤</w:t>
            </w:r>
          </w:p>
        </w:tc>
        <w:tc>
          <w:tcPr>
            <w:tcW w:w="1611"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150以下</w:t>
            </w:r>
          </w:p>
        </w:tc>
        <w:tc>
          <w:tcPr>
            <w:tcW w:w="1617" w:type="dxa"/>
            <w:noWrap w:val="0"/>
            <w:vAlign w:val="center"/>
          </w:tcPr>
          <w:p>
            <w:pPr>
              <w:pStyle w:val="11"/>
              <w:spacing w:line="360" w:lineRule="auto"/>
              <w:ind w:firstLine="42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≥91</w:t>
            </w:r>
          </w:p>
        </w:tc>
        <w:tc>
          <w:tcPr>
            <w:tcW w:w="1616"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2</w:t>
            </w:r>
          </w:p>
        </w:tc>
        <w:tc>
          <w:tcPr>
            <w:tcW w:w="1944"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69" w:hRule="atLeast"/>
          <w:jc w:val="center"/>
        </w:trPr>
        <w:tc>
          <w:tcPr>
            <w:tcW w:w="2387" w:type="dxa"/>
            <w:gridSpan w:val="2"/>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零填及路堑路床</w:t>
            </w:r>
          </w:p>
        </w:tc>
        <w:tc>
          <w:tcPr>
            <w:tcW w:w="1611"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0~30</w:t>
            </w:r>
          </w:p>
        </w:tc>
        <w:tc>
          <w:tcPr>
            <w:tcW w:w="1617" w:type="dxa"/>
            <w:noWrap w:val="0"/>
            <w:vAlign w:val="center"/>
          </w:tcPr>
          <w:p>
            <w:pPr>
              <w:pStyle w:val="11"/>
              <w:spacing w:line="360" w:lineRule="auto"/>
              <w:ind w:firstLine="42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≥94</w:t>
            </w:r>
          </w:p>
        </w:tc>
        <w:tc>
          <w:tcPr>
            <w:tcW w:w="1616"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6</w:t>
            </w:r>
          </w:p>
        </w:tc>
        <w:tc>
          <w:tcPr>
            <w:tcW w:w="1944" w:type="dxa"/>
            <w:noWrap w:val="0"/>
            <w:vAlign w:val="center"/>
          </w:tcPr>
          <w:p>
            <w:pPr>
              <w:pStyle w:val="11"/>
              <w:spacing w:line="360" w:lineRule="auto"/>
              <w:ind w:firstLine="0" w:firstLineChars="0"/>
              <w:jc w:val="center"/>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10</w:t>
            </w:r>
          </w:p>
        </w:tc>
      </w:tr>
    </w:tbl>
    <w:p>
      <w:pPr>
        <w:pStyle w:val="22"/>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二、管线工程</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cs="Times New Roman"/>
          <w:color w:val="auto"/>
          <w:highlight w:val="none"/>
        </w:rPr>
        <w:t>1、</w:t>
      </w:r>
      <w:r>
        <w:rPr>
          <w:rFonts w:hint="default" w:ascii="Times New Roman" w:hAnsi="Times New Roman" w:eastAsia="仿宋" w:cs="Times New Roman"/>
          <w:b w:val="0"/>
          <w:bCs w:val="0"/>
          <w:color w:val="auto"/>
          <w:kern w:val="2"/>
          <w:sz w:val="24"/>
          <w:szCs w:val="24"/>
          <w:highlight w:val="none"/>
          <w:vertAlign w:val="baseline"/>
          <w:lang w:val="en-US" w:eastAsia="zh-CN" w:bidi="ar-SA"/>
        </w:rPr>
        <w:t>给水设计</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设计在道路南侧布置给水管，管径为d400，给水管采用球墨铸铁管。设计沿道路每隔120米左右，在道路人行道上布置室外消火栓，满足市政和消防用水需要。</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2、排水设计</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（1）、雨水标准</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采用衡阳市暴雨强度公式q＝892×(1+0.67lgP)/(t) 0.57。</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本工程设计降雨重现期P取P=2%。</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降雨历时t = t1 + mt2  (min)，</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地面集水时间t1（min）采用t1=10min。</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雨水流量计算公式：Q=ΨqF，综合径流系数ψ=0.70。</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（2）、污水标准</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本规划污水总量取用水量的80%，同时参照《城市给水工程规划规范》，采用不同性质用地用水量指标来计算污水量指标，污水量指标取用水量指标的80%。</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（3）、排水设计</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设计排水采用雨、污分流制，设计雨污水均排入酃湖大道路雨污水系统。</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 xml:space="preserve">设计雨污水管单侧布置，雨水管均采用Ⅱ级钢筋混凝土企口排水管，钢丝网水泥沙浆抹带接口。钢筋混凝土排水管道敷设时管基采用180度混凝土基础； </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基于国家相关规定及本地施工水平，设计污水管选用管壁粗糙系数较小的HDPE钢带增强螺旋波纹管，管件式连接。HDPE钢带增强螺旋波纹管,排水管环钢度须不小于10KN。HDPE排水管敷设时管基采用砂垫层基础，一般土质较好地段,砂垫层厚度为0.15m,对软土地基及槽底位于地下水位以下时,则须先采用0.15m厚粒径为5-40mm碎石或砾石砂铺垫,其上再用0.10m厚中粗砂垫层整平, 基础宽度与槽底同宽。</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沿道路设置向两边伸出的排水接纳支管，均须伸出至人行道边线以外。为安全起见,同时考虑到强度要求,雨水进水井蓖子、排水检查井井盖、基座及爬梯均采用钢骨架再生树脂复合材料制品。</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路面范围内的检查井、雨水口井室周围应采用砂砾回填,其回填宽度为40cm。沟槽回填压实应逐层进行,管顶以上50cm范围内,应采用轻夯压实,管道两侧压实面的高差不应超过30cm。排水管沟回填各层密实度要求与路基一致,基础承载力应大于150kpa。</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排水检查井采用砖砌井，雨水进水井选用边沟式双蓖雨水井，连接支管为D300，取I=0.010，雨水进水井均落底0.3m。</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cs="Times New Roman"/>
          <w:b w:val="0"/>
          <w:bCs w:val="0"/>
          <w:color w:val="auto"/>
          <w:kern w:val="2"/>
          <w:sz w:val="24"/>
          <w:szCs w:val="24"/>
          <w:highlight w:val="none"/>
          <w:vertAlign w:val="baseline"/>
          <w:lang w:val="en-US" w:eastAsia="zh-CN" w:bidi="ar-SA"/>
        </w:rPr>
        <w:t>三、</w:t>
      </w:r>
      <w:r>
        <w:rPr>
          <w:rFonts w:hint="default" w:ascii="Times New Roman" w:hAnsi="Times New Roman" w:eastAsia="仿宋" w:cs="Times New Roman"/>
          <w:b w:val="0"/>
          <w:bCs w:val="0"/>
          <w:color w:val="auto"/>
          <w:kern w:val="2"/>
          <w:sz w:val="24"/>
          <w:szCs w:val="24"/>
          <w:highlight w:val="none"/>
          <w:vertAlign w:val="baseline"/>
          <w:lang w:val="en-US" w:eastAsia="zh-CN" w:bidi="ar-SA"/>
        </w:rPr>
        <w:t>交通工程</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1、无障碍设计</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本项目人行道在各种路口、各种出入口位置、人行横道两端设计了缘石坡道，缘石坡道的坡面应平整、防滑。根据《无障碍设计规范》GB 50763-2012的规定，考虑到绿化带、非机动车与人行道共板，缘石坡道设计优先选用了全宽式单面坡缘石坡道，其宽度与共板的绿化带、非机动车道、人行道总宽度相同，其坡度不应大于1：20，且缘石坡道的坡口与车行道之间宜没有高差，当有高差时，高出车行道的地面不应大于10mm。</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2、交通标志</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标志根据其版面内容的不同，分为警告、禁令、指示、指路等几种。</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交通标志版面设计主要以《道路交通标志与标线》（GB5768-2009）为依据，标志上的文字采用中英文对照，指路标志的汉字高采用40cm，英文字高一般为汉字字高的一半，英文、拼音字母均采用大写字母。具体结合计算行车速度40km/h的要求，各种标志版面规定如下：禁令标志规格为圆形80cm；指路标志统一采用460cm×360cm，标志汉字统一采用标准黑体（简体），高度40cm，英文采用拉丁字母大写，字高20cm，且要求字高与字宽相等，字间隔为4cm，字行距为0.14，距标志边缘距离为大于16cm。</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3、交通标线</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根据国标《道路交通标志标线》（GB5768-2009）的相关规定，本工程交通标线主要由车道分界线、车行道边缘线、专用道线、人行横道预告标记、人行横道线、导向箭头标记等到路面标记。标线按规定设置成反光交通标线。</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标线按城市道路双向六车道划线。标线采用热熔型反光涂料，其厚度为2.8mm或4.5mm。其中车道分界线采用（白色）采用“2m/4m”间隔的虚线，宽度为15cm，车行道边缘线（白色）15cm，临近交叉口，导向箭头按照重重三次、间隔50m的要求进行布设，人行横道线宽度一般采用6m，人行横道线的位置及其预告标识采用间隔60m/45cm的要求布设。</w:t>
      </w:r>
    </w:p>
    <w:p>
      <w:pPr>
        <w:pStyle w:val="22"/>
        <w:numPr>
          <w:ilvl w:val="0"/>
          <w:numId w:val="19"/>
        </w:numPr>
        <w:spacing w:line="360" w:lineRule="auto"/>
        <w:ind w:firstLine="480"/>
        <w:rPr>
          <w:rFonts w:hint="default" w:ascii="Times New Roman" w:hAnsi="Times New Roman" w:cs="Times New Roman"/>
          <w:b w:val="0"/>
          <w:bCs w:val="0"/>
          <w:color w:val="auto"/>
          <w:kern w:val="2"/>
          <w:sz w:val="24"/>
          <w:szCs w:val="24"/>
          <w:highlight w:val="none"/>
          <w:vertAlign w:val="baseline"/>
          <w:lang w:val="en-US" w:eastAsia="zh-CN" w:bidi="ar-SA"/>
        </w:rPr>
      </w:pPr>
      <w:r>
        <w:rPr>
          <w:rFonts w:hint="default" w:ascii="Times New Roman" w:hAnsi="Times New Roman" w:cs="Times New Roman"/>
          <w:b w:val="0"/>
          <w:bCs w:val="0"/>
          <w:color w:val="auto"/>
          <w:kern w:val="2"/>
          <w:sz w:val="24"/>
          <w:szCs w:val="24"/>
          <w:highlight w:val="none"/>
          <w:vertAlign w:val="baseline"/>
          <w:lang w:val="en-US" w:eastAsia="zh-CN" w:bidi="ar-SA"/>
        </w:rPr>
        <w:t>绿化环境工程</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绿化主要是降低噪音、吸纳废气，改善和美化环境。道路两侧（2*2m）全部植树绿化，在人行道上形成护荫乔木绿带，桂花、石楠每隔6m栽种一棵，樱花及紫薇7株为一组，黄花槐5株为一组等。</w:t>
      </w:r>
    </w:p>
    <w:p>
      <w:pPr>
        <w:pStyle w:val="22"/>
        <w:spacing w:line="360" w:lineRule="auto"/>
        <w:ind w:firstLine="480"/>
        <w:rPr>
          <w:rFonts w:hint="default" w:ascii="Times New Roman" w:hAnsi="Times New Roman" w:eastAsia="仿宋" w:cs="Times New Roman"/>
          <w:b w:val="0"/>
          <w:bCs w:val="0"/>
          <w:color w:val="auto"/>
          <w:kern w:val="2"/>
          <w:sz w:val="24"/>
          <w:szCs w:val="24"/>
          <w:highlight w:val="none"/>
          <w:vertAlign w:val="baseline"/>
          <w:lang w:val="en-US" w:eastAsia="zh-CN" w:bidi="ar-SA"/>
        </w:rPr>
      </w:pPr>
      <w:r>
        <w:rPr>
          <w:rFonts w:hint="default" w:ascii="Times New Roman" w:hAnsi="Times New Roman" w:eastAsia="仿宋" w:cs="Times New Roman"/>
          <w:b w:val="0"/>
          <w:bCs w:val="0"/>
          <w:color w:val="auto"/>
          <w:kern w:val="2"/>
          <w:sz w:val="24"/>
          <w:szCs w:val="24"/>
          <w:highlight w:val="none"/>
          <w:vertAlign w:val="baseline"/>
          <w:lang w:val="en-US" w:eastAsia="zh-CN" w:bidi="ar-SA"/>
        </w:rPr>
        <w:t>公交站旁布置花坛、座凳、铺地等设施，即方便行人，又丰富道路景观。结合交叉口建设，设置街头绿地。</w:t>
      </w:r>
    </w:p>
    <w:p>
      <w:pPr>
        <w:keepNext w:val="0"/>
        <w:keepLines w:val="0"/>
        <w:pageBreakBefore w:val="0"/>
        <w:widowControl w:val="0"/>
        <w:numPr>
          <w:ilvl w:val="0"/>
          <w:numId w:val="19"/>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照明工程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1.设计指标：机动车道路面平均照度Eav=15LX，人行道路面平均照度为机动车道路照度的1/2，均匀度取0.4,眩光指数取5左右。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选用LED高效节能灯作本工程照明光源，单灯功率为120W，布置在两侧人行道，其功率因数由配套的电容器补偿到0.9以上，平均间距30M左右，灯杆采用热镀锌钢灯杆，杆高取10M，内装灯具附件和转接接线端子。灯具防护等级及密封性能应在IP65以上。灯基础为混凝土基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3.负荷等级及电源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本路段供电电压等级10KV，用电电压等级0.4KV，设计供电电源就近由路灯专用变电所引入。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4.照明控制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（1）、路灯控制设置两种方式：手动和智能钟控，其中手动主要用于调式和系统检修时使用，智能钟控采用天文时钟根据所处地区经纬度和季节按存储的日出日落时间自动设定并控制路灯启停。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（2）、路灯与联新路一并控制。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5.照明干线采用VV-1KV型电力电缆，埋深0.7米，干线至灯头采用BVV-0.5KV-3×2.5。照明电源为380/220V，三相四线制每一回路采用三相间隔配电，电压等级为 10KV/0.4KV/0.23KV。</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6节能措施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  设计选用高效节能灯具，并控制下半夜路灯减半开启，同时设置路灯节能控制箱。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7．防雷接地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（1）、防雷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在10KV电源进线处设避雷器，防止雷电波侵入，利用基础钢筋作等电位联接，低压电源进线处设SPD保护。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（2）、接地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①、设计采用TN-S接地系统，箱式变电站中性点直接接地。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②、本工程接地有电气安全接地、工作接地和防雷接地，接地电阻值不大于4欧姆，接地极采用50x50x2500镀锌角钢，接地连接线为40x4镀锌扁钢。沿途每隔200M及末端设一PE重复接地点。</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8.路灯电缆护管使用前，均须进行检测，符合《电气安装用导管的技术要求•通用要求》（GB/T13381．1-92），及其它相关国家标准后方可使用。</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1.1.5施工组织及工期</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一、施工布置</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1、施工生产生活区布置</w:t>
      </w:r>
    </w:p>
    <w:p>
      <w:pPr>
        <w:pStyle w:val="22"/>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根据公路建设特点，各路段施工过程中预制场、路面沥青砼拌和场等施工场地布置均需临时占用土地。本方案根据类似项目临时用地指标及路线实施情况，全线设置施工生产生活区1处，估列施工生产生活区占地0.2hm</w:t>
      </w:r>
      <w:r>
        <w:rPr>
          <w:rFonts w:hint="default" w:ascii="Times New Roman" w:hAnsi="Times New Roman" w:cs="Times New Roman"/>
          <w:color w:val="auto"/>
          <w:highlight w:val="none"/>
          <w:vertAlign w:val="superscript"/>
          <w:lang w:val="en-US" w:eastAsia="zh-CN"/>
        </w:rPr>
        <w:t>2</w:t>
      </w:r>
      <w:r>
        <w:rPr>
          <w:rFonts w:hint="default" w:ascii="Times New Roman" w:hAnsi="Times New Roman" w:cs="Times New Roman"/>
          <w:color w:val="auto"/>
          <w:highlight w:val="none"/>
          <w:vertAlign w:val="baseline"/>
          <w:lang w:val="en-US" w:eastAsia="zh-CN"/>
        </w:rPr>
        <w:t>。施工生产生活区设在道路和平面交叉附近平缓地区。项目区在</w:t>
      </w:r>
      <w:r>
        <w:rPr>
          <w:rFonts w:hint="default" w:ascii="Times New Roman" w:hAnsi="Times New Roman" w:cs="Times New Roman"/>
          <w:color w:val="auto"/>
          <w:highlight w:val="none"/>
        </w:rPr>
        <w:t>酃湖乡城区，且施工区内居民较多，施工人员生活营地可就近租用当地的民房，可不建生活区。临时占地尽量少占农林用地，工程建设完工后清理场地，根据原土地利用方式进行复耕或绿化。</w:t>
      </w:r>
    </w:p>
    <w:p>
      <w:pPr>
        <w:pStyle w:val="22"/>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Times New Roman" w:hAnsi="Times New Roman" w:eastAsia="仿宋" w:cs="Times New Roman"/>
          <w:color w:val="auto"/>
          <w:highlight w:val="none"/>
          <w:lang w:val="en-US" w:eastAsia="zh-CN"/>
        </w:rPr>
      </w:pPr>
      <w:r>
        <w:rPr>
          <w:rFonts w:hint="default" w:ascii="Times New Roman" w:hAnsi="Times New Roman" w:cs="Times New Roman"/>
          <w:b/>
          <w:bCs/>
          <w:color w:val="auto"/>
          <w:highlight w:val="none"/>
          <w:lang w:val="en-US" w:eastAsia="zh-CN"/>
        </w:rPr>
        <w:t>施工生产生活区布置表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序号</w:t>
            </w:r>
          </w:p>
        </w:tc>
        <w:tc>
          <w:tcPr>
            <w:tcW w:w="1704"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位置桩号</w:t>
            </w:r>
          </w:p>
        </w:tc>
        <w:tc>
          <w:tcPr>
            <w:tcW w:w="3409" w:type="dxa"/>
            <w:gridSpan w:val="2"/>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用地面积</w:t>
            </w:r>
          </w:p>
        </w:tc>
        <w:tc>
          <w:tcPr>
            <w:tcW w:w="1705" w:type="dxa"/>
            <w:vMerge w:val="restart"/>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林草恢复（</w:t>
            </w:r>
            <w:r>
              <w:rPr>
                <w:rFonts w:hint="default" w:ascii="Times New Roman" w:hAnsi="Times New Roman" w:cs="Times New Roman"/>
                <w:color w:val="auto"/>
                <w:highlight w:val="none"/>
                <w:lang w:val="en-US" w:eastAsia="zh-CN"/>
              </w:rPr>
              <w:t>hm</w:t>
            </w:r>
            <w:r>
              <w:rPr>
                <w:rFonts w:hint="default" w:ascii="Times New Roman" w:hAnsi="Times New Roman" w:cs="Times New Roman"/>
                <w:color w:val="auto"/>
                <w:highlight w:val="none"/>
                <w:vertAlign w:val="superscript"/>
                <w:lang w:val="en-US" w:eastAsia="zh-CN"/>
              </w:rPr>
              <w:t>2</w:t>
            </w:r>
            <w:r>
              <w:rPr>
                <w:rFonts w:hint="default" w:ascii="Times New Roman" w:hAnsi="Times New Roman"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合计</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经济林</w:t>
            </w:r>
          </w:p>
        </w:tc>
        <w:tc>
          <w:tcPr>
            <w:tcW w:w="1705" w:type="dxa"/>
            <w:vMerge w:val="continue"/>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K0+180</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合计</w:t>
            </w:r>
          </w:p>
        </w:tc>
        <w:tc>
          <w:tcPr>
            <w:tcW w:w="1704"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705" w:type="dxa"/>
            <w:vAlign w:val="center"/>
          </w:tcPr>
          <w:p>
            <w:pPr>
              <w:keepNext w:val="0"/>
              <w:keepLines w:val="0"/>
              <w:pageBreakBefore w:val="0"/>
              <w:widowControl w:val="0"/>
              <w:numPr>
                <w:ilvl w:val="0"/>
                <w:numId w:val="0"/>
              </w:numPr>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r>
    </w:tbl>
    <w:p>
      <w:pPr>
        <w:keepNext w:val="0"/>
        <w:keepLines w:val="0"/>
        <w:pageBreakBefore w:val="0"/>
        <w:widowControl w:val="0"/>
        <w:numPr>
          <w:ilvl w:val="0"/>
          <w:numId w:val="2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施工便道布置</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rPr>
        <w:t>沿线公路交通发达，施工过程中可直接利用衡茶路，衡州大道，双拥路，022乡道及区内的道路等交通要道作为施工道路，但仅靠现有道路上，不能完全满足施工需要，因此必须在适当的路段修筑一些新的横向进场施工便道，为项目土石方工程施工等活动创造条件</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估列需新修施工便道总长0.05km，占地面积0.05hm</w:t>
      </w:r>
      <w:r>
        <w:rPr>
          <w:rFonts w:hint="default" w:ascii="Times New Roman" w:hAnsi="Times New Roman" w:cs="Times New Roman"/>
          <w:color w:val="auto"/>
          <w:highlight w:val="none"/>
          <w:vertAlign w:val="superscript"/>
          <w:lang w:val="en-US" w:eastAsia="zh-CN"/>
        </w:rPr>
        <w:t>2</w:t>
      </w:r>
      <w:r>
        <w:rPr>
          <w:rFonts w:hint="default" w:ascii="Times New Roman" w:hAnsi="Times New Roman" w:cs="Times New Roman"/>
          <w:color w:val="auto"/>
          <w:highlight w:val="none"/>
          <w:vertAlign w:val="baseline"/>
          <w:lang w:val="en-US" w:eastAsia="zh-CN"/>
        </w:rPr>
        <w:t>。施工便道在施工结束后应落实林草植被措施，恢复为林地。</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施工道路情况表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994"/>
        <w:gridCol w:w="1440"/>
        <w:gridCol w:w="960"/>
        <w:gridCol w:w="1731"/>
        <w:gridCol w:w="1286"/>
        <w:gridCol w:w="139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序号</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位置</w:t>
            </w:r>
          </w:p>
        </w:tc>
        <w:tc>
          <w:tcPr>
            <w:tcW w:w="14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占地宽度（m）</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长度（m）</w:t>
            </w:r>
          </w:p>
        </w:tc>
        <w:tc>
          <w:tcPr>
            <w:tcW w:w="17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占地面积（</w:t>
            </w:r>
            <w:r>
              <w:rPr>
                <w:rFonts w:hint="default" w:ascii="Times New Roman" w:hAnsi="Times New Roman" w:cs="Times New Roman"/>
                <w:color w:val="auto"/>
                <w:sz w:val="21"/>
                <w:szCs w:val="21"/>
                <w:highlight w:val="none"/>
                <w:lang w:val="en-US" w:eastAsia="zh-CN"/>
              </w:rPr>
              <w:t>hm</w:t>
            </w:r>
            <w:r>
              <w:rPr>
                <w:rFonts w:hint="default" w:ascii="Times New Roman" w:hAnsi="Times New Roman" w:cs="Times New Roman"/>
                <w:color w:val="auto"/>
                <w:sz w:val="21"/>
                <w:szCs w:val="21"/>
                <w:highlight w:val="none"/>
                <w:vertAlign w:val="superscript"/>
                <w:lang w:val="en-US" w:eastAsia="zh-CN"/>
              </w:rPr>
              <w:t>2</w:t>
            </w:r>
            <w:r>
              <w:rPr>
                <w:rFonts w:hint="default" w:ascii="Times New Roman" w:hAnsi="Times New Roman" w:cs="Times New Roman"/>
                <w:color w:val="auto"/>
                <w:sz w:val="21"/>
                <w:szCs w:val="21"/>
                <w:highlight w:val="none"/>
                <w:vertAlign w:val="baseline"/>
                <w:lang w:val="en-US" w:eastAsia="zh-CN"/>
              </w:rPr>
              <w:t>）</w:t>
            </w:r>
          </w:p>
        </w:tc>
        <w:tc>
          <w:tcPr>
            <w:tcW w:w="128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占地性质</w:t>
            </w:r>
          </w:p>
        </w:tc>
        <w:tc>
          <w:tcPr>
            <w:tcW w:w="139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占地类型</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13"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99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K0-055</w:t>
            </w:r>
          </w:p>
        </w:tc>
        <w:tc>
          <w:tcPr>
            <w:tcW w:w="144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w:t>
            </w:r>
          </w:p>
        </w:tc>
        <w:tc>
          <w:tcPr>
            <w:tcW w:w="17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c>
          <w:tcPr>
            <w:tcW w:w="128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临时占地</w:t>
            </w:r>
          </w:p>
        </w:tc>
        <w:tc>
          <w:tcPr>
            <w:tcW w:w="139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经济林</w:t>
            </w:r>
          </w:p>
        </w:tc>
      </w:tr>
    </w:tbl>
    <w:p>
      <w:pPr>
        <w:keepNext w:val="0"/>
        <w:keepLines w:val="0"/>
        <w:pageBreakBefore w:val="0"/>
        <w:widowControl w:val="0"/>
        <w:numPr>
          <w:ilvl w:val="0"/>
          <w:numId w:val="21"/>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施工工艺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本项目施工主要包括公路路基、交叉工程、排水及防护等工程土石方开挖及填筑、建筑物砼工程及砌石工程施工，与水土流失有关的主要项目施工工艺如下：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路基工程</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填方路基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以机械施工为主，本着永临结合的原则在路基两侧红线范围内沿线开挖临时排水设施，以保持施工期间场地处于良好的排水状态。对软土路基段，视软土厚度分别采取疏导排水、清淤回填、抛石挤淤等措施进行地基处理，然后再分层回填，洞道直径较小的干溶洞根据实际情况采用填片石或注浆；若为高填路堤段，当基底为水塘时，清除表层淤泥腐质土，填方边坡坡率：8m以内为1：1.5，大于8m为1：1.75。且在坡率变化处设宽2m的碎落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挖方边坡坡率：路堑土质或强风化岩质边坡为1：1~1：1.5，8m以内边坡为1：1，边坡高度在8~20m内时，边坡为1：1.25，边坡高度＞20m时，坡率为1：1.5，在坡率变化处，均设置2m宽碎落台。</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填方路基施工工艺流程图见图。</w:t>
      </w:r>
    </w:p>
    <w:p>
      <w:pPr>
        <w:pStyle w:val="28"/>
        <w:spacing w:line="36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drawing>
          <wp:inline distT="0" distB="0" distL="114300" distR="114300">
            <wp:extent cx="3470910" cy="3170555"/>
            <wp:effectExtent l="0" t="0" r="15240" b="10795"/>
            <wp:docPr id="75" name="图片 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5" name="图片 75"/>
                    <pic:cNvPicPr>
                      <a:picLocks noChangeAspect="1"/>
                    </pic:cNvPicPr>
                  </pic:nvPicPr>
                  <pic:blipFill>
                    <a:blip r:embed="rId68"/>
                    <a:stretch>
                      <a:fillRect/>
                    </a:stretch>
                  </pic:blipFill>
                  <pic:spPr>
                    <a:xfrm>
                      <a:off x="0" y="0"/>
                      <a:ext cx="3470910" cy="3170555"/>
                    </a:xfrm>
                    <a:prstGeom prst="rect">
                      <a:avLst/>
                    </a:prstGeom>
                    <a:noFill/>
                    <a:ln>
                      <a:noFill/>
                    </a:ln>
                  </pic:spPr>
                </pic:pic>
              </a:graphicData>
            </a:graphic>
          </wp:inline>
        </w:drawing>
      </w:r>
    </w:p>
    <w:p>
      <w:pPr>
        <w:keepNext w:val="0"/>
        <w:keepLines w:val="0"/>
        <w:pageBreakBefore w:val="0"/>
        <w:widowControl w:val="0"/>
        <w:numPr>
          <w:ilvl w:val="0"/>
          <w:numId w:val="22"/>
        </w:numPr>
        <w:kinsoku/>
        <w:wordWrap/>
        <w:overflowPunct/>
        <w:topLinePunct w:val="0"/>
        <w:autoSpaceDE/>
        <w:autoSpaceDN/>
        <w:bidi w:val="0"/>
        <w:adjustRightInd/>
        <w:snapToGrid/>
        <w:spacing w:line="360" w:lineRule="auto"/>
        <w:ind w:left="0" w:leftChars="0" w:firstLine="480" w:firstLineChars="200"/>
        <w:jc w:val="both"/>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路基路面排水工程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本工程为城市道路，路面排水采用雨水管道分段收集排放。原则上尽量避免设置边沟、排水沟、截水沟等路基排水设施。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沿线地下水位不高，地质勘探结果未发现地下水对路基稳定产生问题的出水点。施工开挖后如发现有可能危及路基稳定的地下水，应采用引流或设暗沟、渗沟降低水位等措施，将水迅速排离路基以外。</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left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管线工程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管道施工分区、分片、分段进行开挖施工，开挖一段，敷设安装一段，不全面铺开。本工程的施工方法主要采用管铺挖填，包括沟槽开挖、管基施工、管道安装。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1、管沟开挖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（1）土方开挖方式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沟槽拟采用挖掘机开挖，采用1：0.36的放坡系数进行土方开挖。在沟槽开挖之前，必须同建设单位一起对地下已有管线进行一次详尽的勘察，必要时要挖探坑核实，切实保证沟槽开挖时的安全。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（2）槽壁支护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管道沟槽开挖根据设计要求放坡开挖，根据开挖边坡稳定情况及地质情况设立支撑。</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（3）堆土原则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考虑本项工程管线实际情况和管材、其它材料和机械进场的需要，根据施工布置原则，沿管线前进方向左侧(下游)堆土。土方开挖时进行单侧堆土，即堆土高度不超过1.5m，边坡为1：1。</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2、管基施工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（1）基础类型分类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根据施工设计，本项目管道基础主要有150mm厚砂石垫层基础，90o混凝土基础和180o混凝土基础等形式。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（2）施工前应验槽，先将槽内杂物、积水等清理干净，然后分层进行砂石垫层基础施工。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3、管道安装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根据现场情况和设计图纸编好排管计划和安排好排管场地。管节逐根测量、编号，选用管径相差最小的管节组对对接。下管采用吊车人工配合下管，并逐段将管道调整至位，然后举行全包砼的浇筑和回填。</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施工便道施工</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highlight w:val="none"/>
          <w:vertAlign w:val="baseline"/>
          <w:lang w:val="en-US" w:eastAsia="zh-CN"/>
        </w:rPr>
      </w:pPr>
      <w:r>
        <w:rPr>
          <w:rFonts w:hint="default" w:ascii="Times New Roman" w:hAnsi="Times New Roman" w:cs="Times New Roman"/>
          <w:color w:val="auto"/>
          <w:highlight w:val="none"/>
          <w:vertAlign w:val="baseline"/>
          <w:lang w:val="en-US" w:eastAsia="zh-CN"/>
        </w:rPr>
        <w:t>施工便道计划先开通被交叉道路，从一般道路与主线交叉处进入主线，在各连接线内设工程用道路，随着连接线施工的推进，依顺序改变和利用。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由于本项目路线较短，交通方便，</w:t>
      </w:r>
      <w:r>
        <w:rPr>
          <w:rFonts w:hint="default" w:ascii="Times New Roman" w:hAnsi="Times New Roman" w:cs="Times New Roman"/>
          <w:color w:val="auto"/>
          <w:highlight w:val="none"/>
          <w:lang w:val="en-US" w:eastAsia="zh-CN"/>
        </w:rPr>
        <w:t>在K0+640处设置有一个临时堆放区</w:t>
      </w:r>
      <w:r>
        <w:rPr>
          <w:rFonts w:hint="default" w:ascii="Times New Roman" w:hAnsi="Times New Roman" w:cs="Times New Roman"/>
          <w:color w:val="auto"/>
          <w:highlight w:val="none"/>
        </w:rPr>
        <w:t>，规划将表土运输至邻近施工生产生活区临时堆放保存。路基施工之前必须清除用地范围内的表土、树根等杂物，采用机械施工先将表土剥离运至施工生产生活区，集中堆放，并采用临时拦挡排水措施进行防护。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lang w:val="en-US" w:eastAsia="zh-CN"/>
        </w:rPr>
        <w:t>施工工期</w:t>
      </w:r>
    </w:p>
    <w:p>
      <w:pPr>
        <w:keepNext w:val="0"/>
        <w:keepLines w:val="0"/>
        <w:pageBreakBefore w:val="0"/>
        <w:widowControl w:val="0"/>
        <w:kinsoku/>
        <w:wordWrap/>
        <w:overflowPunct/>
        <w:topLinePunct w:val="0"/>
        <w:autoSpaceDE/>
        <w:autoSpaceDN/>
        <w:bidi w:val="0"/>
        <w:adjustRightInd/>
        <w:snapToGrid/>
        <w:spacing w:before="177" w:line="360" w:lineRule="auto"/>
        <w:ind w:firstLine="480" w:firstLineChars="200"/>
        <w:textAlignment w:val="auto"/>
        <w:rPr>
          <w:rFonts w:hint="default" w:ascii="Times New Roman" w:hAnsi="Times New Roman" w:eastAsia="仿宋" w:cs="Times New Roman"/>
          <w:color w:val="auto"/>
          <w:spacing w:val="-52"/>
          <w:sz w:val="24"/>
          <w:szCs w:val="24"/>
          <w:highlight w:val="none"/>
        </w:rPr>
      </w:pPr>
      <w:r>
        <w:rPr>
          <w:rFonts w:hint="default" w:ascii="Times New Roman" w:hAnsi="Times New Roman" w:eastAsia="仿宋" w:cs="Times New Roman"/>
          <w:color w:val="auto"/>
          <w:sz w:val="24"/>
          <w:szCs w:val="24"/>
          <w:highlight w:val="none"/>
        </w:rPr>
        <w:t>本项目主体工程于</w:t>
      </w:r>
      <w:r>
        <w:rPr>
          <w:rFonts w:hint="default" w:ascii="Times New Roman" w:hAnsi="Times New Roman" w:eastAsia="仿宋" w:cs="Times New Roman"/>
          <w:color w:val="auto"/>
          <w:spacing w:val="-1"/>
          <w:sz w:val="24"/>
          <w:szCs w:val="24"/>
          <w:highlight w:val="none"/>
        </w:rPr>
        <w:t xml:space="preserve"> </w:t>
      </w:r>
      <w:r>
        <w:rPr>
          <w:rFonts w:hint="default" w:ascii="Times New Roman" w:hAnsi="Times New Roman" w:eastAsia="Times New Roman" w:cs="Times New Roman"/>
          <w:color w:val="auto"/>
          <w:sz w:val="24"/>
          <w:szCs w:val="24"/>
          <w:highlight w:val="none"/>
        </w:rPr>
        <w:t>201</w:t>
      </w:r>
      <w:r>
        <w:rPr>
          <w:rFonts w:hint="default" w:ascii="Times New Roman" w:hAnsi="Times New Roman" w:eastAsia="宋体" w:cs="Times New Roman"/>
          <w:color w:val="auto"/>
          <w:sz w:val="24"/>
          <w:szCs w:val="24"/>
          <w:highlight w:val="none"/>
          <w:lang w:val="en-US" w:eastAsia="zh-CN"/>
        </w:rPr>
        <w:t>6</w:t>
      </w:r>
      <w:r>
        <w:rPr>
          <w:rFonts w:hint="default" w:ascii="Times New Roman" w:hAnsi="Times New Roman" w:eastAsia="Times New Roman" w:cs="Times New Roman"/>
          <w:color w:val="auto"/>
          <w:spacing w:val="-1"/>
          <w:sz w:val="24"/>
          <w:szCs w:val="24"/>
          <w:highlight w:val="none"/>
        </w:rPr>
        <w:t xml:space="preserve"> </w:t>
      </w:r>
      <w:r>
        <w:rPr>
          <w:rFonts w:hint="default" w:ascii="Times New Roman" w:hAnsi="Times New Roman" w:eastAsia="仿宋" w:cs="Times New Roman"/>
          <w:color w:val="auto"/>
          <w:sz w:val="24"/>
          <w:szCs w:val="24"/>
          <w:highlight w:val="none"/>
        </w:rPr>
        <w:t>年</w:t>
      </w:r>
      <w:r>
        <w:rPr>
          <w:rFonts w:hint="default" w:ascii="Times New Roman" w:hAnsi="Times New Roman" w:eastAsia="仿宋" w:cs="Times New Roman"/>
          <w:color w:val="auto"/>
          <w:spacing w:val="-1"/>
          <w:sz w:val="24"/>
          <w:szCs w:val="24"/>
          <w:highlight w:val="none"/>
        </w:rPr>
        <w:t xml:space="preserve"> </w:t>
      </w:r>
      <w:r>
        <w:rPr>
          <w:rFonts w:hint="default" w:ascii="Times New Roman" w:hAnsi="Times New Roman" w:eastAsia="宋体" w:cs="Times New Roman"/>
          <w:color w:val="auto"/>
          <w:sz w:val="24"/>
          <w:szCs w:val="24"/>
          <w:highlight w:val="none"/>
          <w:lang w:val="en-US" w:eastAsia="zh-CN"/>
        </w:rPr>
        <w:t>10</w:t>
      </w:r>
      <w:r>
        <w:rPr>
          <w:rFonts w:hint="default" w:ascii="Times New Roman" w:hAnsi="Times New Roman" w:eastAsia="Times New Roman" w:cs="Times New Roman"/>
          <w:color w:val="auto"/>
          <w:sz w:val="24"/>
          <w:szCs w:val="24"/>
          <w:highlight w:val="none"/>
        </w:rPr>
        <w:t xml:space="preserve"> </w:t>
      </w:r>
      <w:r>
        <w:rPr>
          <w:rFonts w:hint="default" w:ascii="Times New Roman" w:hAnsi="Times New Roman" w:eastAsia="仿宋" w:cs="Times New Roman"/>
          <w:color w:val="auto"/>
          <w:sz w:val="24"/>
          <w:szCs w:val="24"/>
          <w:highlight w:val="none"/>
        </w:rPr>
        <w:t>月开工建设</w:t>
      </w:r>
      <w:r>
        <w:rPr>
          <w:rFonts w:hint="default" w:ascii="Times New Roman" w:hAnsi="Times New Roman" w:eastAsia="仿宋" w:cs="Times New Roman"/>
          <w:color w:val="auto"/>
          <w:spacing w:val="-52"/>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Times New Roman" w:cs="Times New Roman"/>
          <w:color w:val="auto"/>
          <w:sz w:val="24"/>
          <w:szCs w:val="24"/>
          <w:highlight w:val="none"/>
        </w:rPr>
        <w:t>20</w:t>
      </w:r>
      <w:r>
        <w:rPr>
          <w:rFonts w:hint="default" w:ascii="Times New Roman" w:hAnsi="Times New Roman" w:eastAsia="宋体" w:cs="Times New Roman"/>
          <w:color w:val="auto"/>
          <w:sz w:val="24"/>
          <w:szCs w:val="24"/>
          <w:highlight w:val="none"/>
          <w:lang w:val="en-US" w:eastAsia="zh-CN"/>
        </w:rPr>
        <w:t>17</w:t>
      </w:r>
      <w:r>
        <w:rPr>
          <w:rFonts w:hint="default" w:ascii="Times New Roman" w:hAnsi="Times New Roman" w:eastAsia="Times New Roman" w:cs="Times New Roman"/>
          <w:color w:val="auto"/>
          <w:sz w:val="24"/>
          <w:szCs w:val="24"/>
          <w:highlight w:val="none"/>
        </w:rPr>
        <w:t xml:space="preserve"> </w:t>
      </w:r>
      <w:r>
        <w:rPr>
          <w:rFonts w:hint="default" w:ascii="Times New Roman" w:hAnsi="Times New Roman" w:eastAsia="仿宋" w:cs="Times New Roman"/>
          <w:color w:val="auto"/>
          <w:sz w:val="24"/>
          <w:szCs w:val="24"/>
          <w:highlight w:val="none"/>
        </w:rPr>
        <w:t xml:space="preserve">年 </w:t>
      </w:r>
      <w:r>
        <w:rPr>
          <w:rFonts w:hint="default" w:ascii="Times New Roman" w:hAnsi="Times New Roman" w:eastAsia="Times New Roman" w:cs="Times New Roman"/>
          <w:color w:val="auto"/>
          <w:sz w:val="24"/>
          <w:szCs w:val="24"/>
          <w:highlight w:val="none"/>
        </w:rPr>
        <w:t xml:space="preserve">6 </w:t>
      </w:r>
      <w:r>
        <w:rPr>
          <w:rFonts w:hint="default" w:ascii="Times New Roman" w:hAnsi="Times New Roman" w:eastAsia="仿宋" w:cs="Times New Roman"/>
          <w:color w:val="auto"/>
          <w:sz w:val="24"/>
          <w:szCs w:val="24"/>
          <w:highlight w:val="none"/>
        </w:rPr>
        <w:t>月竣工</w:t>
      </w:r>
      <w:r>
        <w:rPr>
          <w:rFonts w:hint="default" w:ascii="Times New Roman" w:hAnsi="Times New Roman" w:eastAsia="仿宋" w:cs="Times New Roman"/>
          <w:color w:val="auto"/>
          <w:spacing w:val="-52"/>
          <w:sz w:val="24"/>
          <w:szCs w:val="24"/>
          <w:highlight w:val="none"/>
        </w:rPr>
        <w:t>，</w:t>
      </w:r>
      <w:r>
        <w:rPr>
          <w:rFonts w:hint="default" w:ascii="Times New Roman" w:hAnsi="Times New Roman" w:eastAsia="仿宋" w:cs="Times New Roman"/>
          <w:color w:val="auto"/>
          <w:sz w:val="24"/>
          <w:szCs w:val="24"/>
          <w:highlight w:val="none"/>
        </w:rPr>
        <w:t>总工期</w:t>
      </w:r>
      <w:r>
        <w:rPr>
          <w:rFonts w:hint="default" w:ascii="Times New Roman" w:hAnsi="Times New Roman" w:eastAsia="宋体" w:cs="Times New Roman"/>
          <w:color w:val="auto"/>
          <w:sz w:val="24"/>
          <w:szCs w:val="24"/>
          <w:highlight w:val="none"/>
          <w:lang w:val="en-US" w:eastAsia="zh-CN"/>
        </w:rPr>
        <w:t>8</w:t>
      </w:r>
      <w:r>
        <w:rPr>
          <w:rFonts w:hint="default" w:ascii="Times New Roman" w:hAnsi="Times New Roman" w:eastAsia="Times New Roman" w:cs="Times New Roman"/>
          <w:color w:val="auto"/>
          <w:sz w:val="24"/>
          <w:szCs w:val="24"/>
          <w:highlight w:val="none"/>
        </w:rPr>
        <w:t xml:space="preserve"> </w:t>
      </w:r>
      <w:r>
        <w:rPr>
          <w:rFonts w:hint="default" w:ascii="Times New Roman" w:hAnsi="Times New Roman" w:eastAsia="仿宋" w:cs="Times New Roman"/>
          <w:color w:val="auto"/>
          <w:sz w:val="24"/>
          <w:szCs w:val="24"/>
          <w:highlight w:val="none"/>
        </w:rPr>
        <w:t>个月</w:t>
      </w:r>
      <w:r>
        <w:rPr>
          <w:rFonts w:hint="default" w:ascii="Times New Roman" w:hAnsi="Times New Roman" w:eastAsia="仿宋" w:cs="Times New Roman"/>
          <w:color w:val="auto"/>
          <w:spacing w:val="-52"/>
          <w:sz w:val="24"/>
          <w:szCs w:val="24"/>
          <w:highlight w:val="none"/>
        </w:rPr>
        <w:t>。</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1.1.6土石方情况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根据工程实际建设情况及水土保持监测资料，本工程土石方开挖总量 </w:t>
      </w:r>
      <w:r>
        <w:rPr>
          <w:rFonts w:hint="default" w:ascii="Times New Roman" w:hAnsi="Times New Roman" w:cs="Times New Roman"/>
          <w:color w:val="auto"/>
          <w:highlight w:val="none"/>
          <w:lang w:val="en-US" w:eastAsia="zh-CN"/>
        </w:rPr>
        <w:t>5.02</w:t>
      </w:r>
      <w:r>
        <w:rPr>
          <w:rFonts w:hint="default" w:ascii="Times New Roman" w:hAnsi="Times New Roman" w:cs="Times New Roman"/>
          <w:color w:val="auto"/>
          <w:highlight w:val="none"/>
        </w:rPr>
        <w:t xml:space="preserve"> 万m3；土石方回填及填筑总量 </w:t>
      </w:r>
      <w:r>
        <w:rPr>
          <w:rFonts w:hint="default" w:ascii="Times New Roman" w:hAnsi="Times New Roman" w:cs="Times New Roman"/>
          <w:color w:val="auto"/>
          <w:highlight w:val="none"/>
          <w:lang w:val="en-US" w:eastAsia="zh-CN"/>
        </w:rPr>
        <w:t>12.74</w:t>
      </w:r>
      <w:r>
        <w:rPr>
          <w:rFonts w:hint="default" w:ascii="Times New Roman" w:hAnsi="Times New Roman" w:cs="Times New Roman"/>
          <w:color w:val="auto"/>
          <w:highlight w:val="none"/>
        </w:rPr>
        <w:t xml:space="preserve">万m3 ；弃方 </w:t>
      </w:r>
      <w:r>
        <w:rPr>
          <w:rFonts w:hint="default" w:ascii="Times New Roman" w:hAnsi="Times New Roman" w:cs="Times New Roman"/>
          <w:color w:val="auto"/>
          <w:highlight w:val="none"/>
          <w:lang w:val="en-US" w:eastAsia="zh-CN"/>
        </w:rPr>
        <w:t>5.02</w:t>
      </w:r>
      <w:r>
        <w:rPr>
          <w:rFonts w:hint="default" w:ascii="Times New Roman" w:hAnsi="Times New Roman" w:cs="Times New Roman"/>
          <w:color w:val="auto"/>
          <w:highlight w:val="none"/>
        </w:rPr>
        <w:t xml:space="preserve"> 万 m3，余方由统一调运。</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道路土石见下表</w:t>
      </w: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highlight w:val="none"/>
          <w:lang w:val="en-US" w:eastAsia="zh-CN"/>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325"/>
        <w:gridCol w:w="1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分区名称</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挖方（m³）</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填方（m³）</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借方（m³）</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弃方（m³）</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临时堆存（m³）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土、石、清淤、表土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调入土、利用方</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淤泥、表土、石方</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50229.7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127417.4</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127417.4</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502229.7</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7366.4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小计</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50229.7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127417.4</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127417.4</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502229.7</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7366.4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160</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150</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弃渣场区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4009.1</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1443.8</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2565.3</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9401.7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3331.7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6070.0</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合计</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63800.5</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132202.97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127417.4</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59015.0</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highlight w:val="none"/>
          <w:lang w:val="en-US" w:eastAsia="zh-CN"/>
        </w:rPr>
        <w:sectPr>
          <w:headerReference r:id="rId27" w:type="default"/>
          <w:pgSz w:w="11906" w:h="16838"/>
          <w:pgMar w:top="1440" w:right="1440" w:bottom="1440" w:left="1440" w:header="851" w:footer="992" w:gutter="0"/>
          <w:pgNumType w:fmt="decimal"/>
          <w:cols w:space="425" w:num="1"/>
          <w:docGrid w:type="lines" w:linePitch="312" w:charSpace="0"/>
        </w:sectPr>
      </w:pP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1.1.7 征占地情况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pacing w:val="-23"/>
          <w:sz w:val="24"/>
          <w:szCs w:val="24"/>
          <w:highlight w:val="none"/>
          <w:lang w:val="en-US" w:eastAsia="zh-CN"/>
        </w:rPr>
      </w:pPr>
      <w:r>
        <w:rPr>
          <w:rFonts w:hint="default" w:ascii="Times New Roman" w:hAnsi="Times New Roman" w:eastAsia="仿宋" w:cs="Times New Roman"/>
          <w:color w:val="auto"/>
          <w:sz w:val="24"/>
          <w:szCs w:val="24"/>
          <w:highlight w:val="none"/>
        </w:rPr>
        <w:t>本工程在建设过程中占地</w:t>
      </w:r>
      <w:r>
        <w:rPr>
          <w:rFonts w:hint="default" w:ascii="Times New Roman" w:hAnsi="Times New Roman" w:eastAsia="仿宋" w:cs="Times New Roman"/>
          <w:color w:val="auto"/>
          <w:spacing w:val="-1"/>
          <w:sz w:val="24"/>
          <w:szCs w:val="24"/>
          <w:highlight w:val="none"/>
        </w:rPr>
        <w:t xml:space="preserve"> </w:t>
      </w:r>
      <w:r>
        <w:rPr>
          <w:rFonts w:hint="default" w:ascii="Times New Roman" w:hAnsi="Times New Roman" w:cs="Times New Roman"/>
          <w:color w:val="auto"/>
          <w:spacing w:val="-1"/>
          <w:sz w:val="24"/>
          <w:szCs w:val="24"/>
          <w:highlight w:val="none"/>
          <w:lang w:val="en-US" w:eastAsia="zh-CN"/>
        </w:rPr>
        <w:t>8.51</w:t>
      </w:r>
      <w:r>
        <w:rPr>
          <w:rFonts w:hint="default" w:ascii="Times New Roman" w:hAnsi="Times New Roman" w:eastAsia="Times New Roman" w:cs="Times New Roman"/>
          <w:color w:val="auto"/>
          <w:sz w:val="24"/>
          <w:szCs w:val="24"/>
          <w:highlight w:val="none"/>
        </w:rPr>
        <w:t>hm</w:t>
      </w:r>
      <w:r>
        <w:rPr>
          <w:rFonts w:hint="default" w:ascii="Times New Roman" w:hAnsi="Times New Roman" w:eastAsia="Times New Roman" w:cs="Times New Roman"/>
          <w:color w:val="auto"/>
          <w:position w:val="10"/>
          <w:sz w:val="15"/>
          <w:szCs w:val="15"/>
          <w:highlight w:val="none"/>
        </w:rPr>
        <w:t xml:space="preserve">2 </w:t>
      </w:r>
      <w:r>
        <w:rPr>
          <w:rFonts w:hint="default" w:ascii="Times New Roman" w:hAnsi="Times New Roman" w:eastAsia="仿宋" w:cs="Times New Roman"/>
          <w:color w:val="auto"/>
          <w:spacing w:val="-23"/>
          <w:sz w:val="24"/>
          <w:szCs w:val="24"/>
          <w:highlight w:val="none"/>
        </w:rPr>
        <w:t>，</w:t>
      </w:r>
      <w:r>
        <w:rPr>
          <w:rFonts w:hint="default" w:ascii="Times New Roman" w:hAnsi="Times New Roman" w:cs="Times New Roman"/>
          <w:color w:val="auto"/>
          <w:spacing w:val="-23"/>
          <w:sz w:val="24"/>
          <w:szCs w:val="24"/>
          <w:highlight w:val="none"/>
          <w:lang w:val="en-US" w:eastAsia="zh-CN"/>
        </w:rPr>
        <w:t>其中</w:t>
      </w:r>
      <w:r>
        <w:rPr>
          <w:rFonts w:hint="default" w:ascii="Times New Roman" w:hAnsi="Times New Roman" w:eastAsia="仿宋" w:cs="Times New Roman"/>
          <w:color w:val="auto"/>
          <w:sz w:val="24"/>
          <w:szCs w:val="24"/>
          <w:highlight w:val="none"/>
        </w:rPr>
        <w:t>永久占地</w:t>
      </w:r>
      <w:r>
        <w:rPr>
          <w:rFonts w:hint="default" w:ascii="Times New Roman" w:hAnsi="Times New Roman" w:cs="Times New Roman"/>
          <w:color w:val="auto"/>
          <w:spacing w:val="-1"/>
          <w:sz w:val="24"/>
          <w:szCs w:val="24"/>
          <w:highlight w:val="none"/>
          <w:lang w:val="en-US" w:eastAsia="zh-CN"/>
        </w:rPr>
        <w:t>5.21hm</w:t>
      </w:r>
      <w:r>
        <w:rPr>
          <w:rFonts w:hint="default" w:ascii="Times New Roman" w:hAnsi="Times New Roman" w:eastAsia="Times New Roman" w:cs="Times New Roman"/>
          <w:color w:val="auto"/>
          <w:position w:val="10"/>
          <w:sz w:val="15"/>
          <w:szCs w:val="15"/>
          <w:highlight w:val="none"/>
        </w:rPr>
        <w:t xml:space="preserve">2 </w:t>
      </w:r>
      <w:r>
        <w:rPr>
          <w:rFonts w:hint="default" w:ascii="Times New Roman" w:hAnsi="Times New Roman" w:eastAsia="仿宋" w:cs="Times New Roman"/>
          <w:color w:val="auto"/>
          <w:spacing w:val="-23"/>
          <w:sz w:val="24"/>
          <w:szCs w:val="24"/>
          <w:highlight w:val="none"/>
        </w:rPr>
        <w:t>，</w:t>
      </w:r>
      <w:r>
        <w:rPr>
          <w:rFonts w:hint="default" w:ascii="Times New Roman" w:hAnsi="Times New Roman" w:cs="Times New Roman"/>
          <w:color w:val="auto"/>
          <w:spacing w:val="-23"/>
          <w:sz w:val="24"/>
          <w:szCs w:val="24"/>
          <w:highlight w:val="none"/>
          <w:lang w:val="en-US" w:eastAsia="zh-CN"/>
        </w:rPr>
        <w:t>占地类型为水塘、经济林、宅基地、荒地 。</w:t>
      </w:r>
    </w:p>
    <w:p>
      <w:pPr>
        <w:spacing w:before="112" w:line="217" w:lineRule="auto"/>
        <w:ind w:firstLine="2259"/>
        <w:rPr>
          <w:rFonts w:hint="default" w:ascii="Times New Roman" w:hAnsi="Times New Roman" w:eastAsia="仿宋" w:cs="Times New Roman"/>
          <w:color w:val="auto"/>
          <w:sz w:val="12"/>
          <w:szCs w:val="12"/>
          <w:highlight w:val="none"/>
        </w:rPr>
      </w:pPr>
      <w:r>
        <w:rPr>
          <w:rFonts w:hint="default" w:ascii="Times New Roman" w:hAnsi="Times New Roman" w:eastAsia="仿宋" w:cs="Times New Roman"/>
          <w:color w:val="auto"/>
          <w:sz w:val="24"/>
          <w:szCs w:val="24"/>
          <w:highlight w:val="none"/>
        </w:rPr>
        <w:t xml:space="preserve"> 工程占地面积表        单位</w:t>
      </w:r>
      <w:r>
        <w:rPr>
          <w:rFonts w:hint="default" w:ascii="Times New Roman" w:hAnsi="Times New Roman" w:eastAsia="仿宋" w:cs="Times New Roman"/>
          <w:color w:val="auto"/>
          <w:spacing w:val="-67"/>
          <w:sz w:val="24"/>
          <w:szCs w:val="24"/>
          <w:highlight w:val="none"/>
        </w:rPr>
        <w:t>：</w:t>
      </w:r>
      <w:r>
        <w:rPr>
          <w:rFonts w:hint="default" w:ascii="Times New Roman" w:hAnsi="Times New Roman" w:eastAsia="仿宋" w:cs="Times New Roman"/>
          <w:color w:val="auto"/>
          <w:sz w:val="24"/>
          <w:szCs w:val="24"/>
          <w:highlight w:val="none"/>
        </w:rPr>
        <w:t>hm</w:t>
      </w:r>
      <w:r>
        <w:rPr>
          <w:rFonts w:hint="default" w:ascii="Times New Roman" w:hAnsi="Times New Roman" w:eastAsia="仿宋" w:cs="Times New Roman"/>
          <w:color w:val="auto"/>
          <w:position w:val="11"/>
          <w:sz w:val="12"/>
          <w:szCs w:val="12"/>
          <w:highlight w:val="none"/>
        </w:rPr>
        <w:t>2</w:t>
      </w:r>
    </w:p>
    <w:p>
      <w:pPr>
        <w:spacing w:line="129" w:lineRule="exact"/>
        <w:rPr>
          <w:rFonts w:hint="default" w:ascii="Times New Roman" w:hAnsi="Times New Roman" w:cs="Times New Roman"/>
          <w:color w:val="auto"/>
          <w:highlight w:val="none"/>
        </w:rPr>
      </w:pP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217"/>
        <w:gridCol w:w="1217"/>
        <w:gridCol w:w="1217"/>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项目</w:t>
            </w:r>
          </w:p>
        </w:tc>
        <w:tc>
          <w:tcPr>
            <w:tcW w:w="4869" w:type="dxa"/>
            <w:gridSpan w:val="4"/>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土地类别及数量</w:t>
            </w:r>
          </w:p>
        </w:tc>
        <w:tc>
          <w:tcPr>
            <w:tcW w:w="121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合计</w:t>
            </w:r>
          </w:p>
        </w:tc>
        <w:tc>
          <w:tcPr>
            <w:tcW w:w="121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占地性质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水塘</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经济林</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宅基地</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荒地</w:t>
            </w:r>
          </w:p>
        </w:tc>
        <w:tc>
          <w:tcPr>
            <w:tcW w:w="12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p>
        </w:tc>
        <w:tc>
          <w:tcPr>
            <w:tcW w:w="12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主体工程区</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1.23</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1.12</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0.22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1.23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3.80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永久占地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附属设施区</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0.45</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0.42</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0.08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0.46</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1.41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永久占地</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合计</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1.68</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1.54</w:t>
            </w:r>
          </w:p>
        </w:tc>
        <w:tc>
          <w:tcPr>
            <w:tcW w:w="12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0.30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1.69</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5.21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pacing w:val="-23"/>
                <w:sz w:val="21"/>
                <w:szCs w:val="21"/>
                <w:highlight w:val="none"/>
                <w:vertAlign w:val="baseline"/>
                <w:lang w:val="en-US" w:eastAsia="zh-CN"/>
              </w:rPr>
            </w:pPr>
            <w:r>
              <w:rPr>
                <w:rFonts w:hint="default" w:ascii="Times New Roman" w:hAnsi="Times New Roman" w:cs="Times New Roman"/>
                <w:color w:val="auto"/>
                <w:spacing w:val="-23"/>
                <w:sz w:val="21"/>
                <w:szCs w:val="21"/>
                <w:highlight w:val="none"/>
                <w:vertAlign w:val="baseline"/>
                <w:lang w:val="en-US" w:eastAsia="zh-CN"/>
              </w:rPr>
              <w:t>永久占地</w:t>
            </w:r>
          </w:p>
        </w:tc>
      </w:tr>
    </w:tbl>
    <w:p>
      <w:pPr>
        <w:pStyle w:val="3"/>
        <w:bidi w:val="0"/>
        <w:spacing w:line="360" w:lineRule="auto"/>
        <w:rPr>
          <w:rFonts w:hint="default" w:ascii="Times New Roman" w:hAnsi="Times New Roman" w:cs="Times New Roman"/>
          <w:color w:val="auto"/>
          <w:highlight w:val="none"/>
          <w:lang w:val="en-US" w:eastAsia="zh-CN"/>
        </w:rPr>
      </w:pPr>
      <w:bookmarkStart w:id="380" w:name="_Toc2651"/>
      <w:r>
        <w:rPr>
          <w:rFonts w:hint="default" w:ascii="Times New Roman" w:hAnsi="Times New Roman" w:cs="Times New Roman"/>
          <w:color w:val="auto"/>
          <w:highlight w:val="none"/>
          <w:lang w:val="en-US" w:eastAsia="zh-CN"/>
        </w:rPr>
        <w:t>1.2项目区自然和水土保持情况</w:t>
      </w:r>
      <w:bookmarkEnd w:id="380"/>
    </w:p>
    <w:p>
      <w:pPr>
        <w:pStyle w:val="4"/>
        <w:bidi w:val="0"/>
        <w:spacing w:line="360" w:lineRule="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1.2.1自然条件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衡阳位于湖南省中南部</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湘江中游，衡山之南。地处东经110°32′16″~113°16′32″之间，北纬26°07′05″~27°28′24″之间。东邻株洲市攸县，南接郴州市安仁县、永兴县、桂阳县，西毗永州市冷水滩区、祁阳县以及邵阳市邵东县，北靠娄底市双峰县和湘潭市湘潭县。南北长150公里、东西宽173公里。衡阳市总面积15310平方公里。项目区位于主城区东侧，酃湖保护圈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衡阳处于中南地区凹形面轴带部分，周围环绕着古老宕层形成的断续环带的岭脊山地，内镶大面积白垩系和下第三系红层的红色丘陵台地，构成典型的盆地形势。</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衡阳盆地南高北低，衡阳盆地南面地1000米以上的山连绵数十公里；衡阳盆地北面相对偏低，衡山山脉虽较高，但各峰呈峰林状屹立于中间，其东西两侧都有较低的向北通道，其东侧的湘江河谷两岸海拔高度均在100米以下。整个地形由西南向东北复合倾斜，而盆地由四周向中部降低。衡阳盆地四周山丘围绕，中部平岗丘交错。</w:t>
      </w:r>
    </w:p>
    <w:p>
      <w:pPr>
        <w:pStyle w:val="4"/>
        <w:bidi w:val="0"/>
        <w:spacing w:line="360" w:lineRule="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1.2.2 水土流失防治情况</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湖南省人民政府关于划分水土流失重点防治区通告》（湘政函[1999]115号），项目区属于湖南省人民政府公布的湘中红壤丘陵重点治理区。根据《土壤侵蚀分类分级标准》（SL190～1996）中土壤侵蚀强度分类分级标准，在全国土壤侵蚀类型区划上，项目区属于以水力侵蚀为主的类型中的湘中红壤丘陵区，土壤容许流失量为500t/km².a。</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本项目区土壤侵蚀以水力侵蚀为主，局部地区存在着重力侵蚀，流失形式有片蚀、沟蚀、崩岗等，其中以片蚀侵蚀为主。</w:t>
      </w:r>
    </w:p>
    <w:p>
      <w:pPr>
        <w:pStyle w:val="2"/>
        <w:bidi w:val="0"/>
        <w:rPr>
          <w:rFonts w:hint="default" w:ascii="Times New Roman" w:hAnsi="Times New Roman" w:cs="Times New Roman"/>
          <w:color w:val="auto"/>
          <w:highlight w:val="none"/>
          <w:lang w:val="en-US" w:eastAsia="zh-CN"/>
        </w:rPr>
        <w:sectPr>
          <w:pgSz w:w="11906" w:h="16838"/>
          <w:pgMar w:top="1440" w:right="1440" w:bottom="1440" w:left="1440" w:header="851" w:footer="992" w:gutter="0"/>
          <w:pgNumType w:fmt="decimal"/>
          <w:cols w:space="425" w:num="1"/>
          <w:docGrid w:type="lines" w:linePitch="312" w:charSpace="0"/>
        </w:sectPr>
      </w:pPr>
    </w:p>
    <w:p>
      <w:pPr>
        <w:pStyle w:val="2"/>
        <w:bidi w:val="0"/>
        <w:rPr>
          <w:rFonts w:hint="default" w:ascii="Times New Roman" w:hAnsi="Times New Roman" w:cs="Times New Roman"/>
          <w:color w:val="auto"/>
          <w:highlight w:val="none"/>
          <w:lang w:val="en-US" w:eastAsia="zh-CN"/>
        </w:rPr>
      </w:pPr>
      <w:bookmarkStart w:id="381" w:name="_Toc12917"/>
      <w:r>
        <w:rPr>
          <w:rFonts w:hint="default" w:ascii="Times New Roman" w:hAnsi="Times New Roman" w:cs="Times New Roman"/>
          <w:color w:val="auto"/>
          <w:highlight w:val="none"/>
          <w:lang w:val="en-US" w:eastAsia="zh-CN"/>
        </w:rPr>
        <w:t>2 水土保持方案及设计情况</w:t>
      </w:r>
      <w:bookmarkEnd w:id="381"/>
    </w:p>
    <w:p>
      <w:pPr>
        <w:pStyle w:val="3"/>
        <w:bidi w:val="0"/>
        <w:rPr>
          <w:rFonts w:hint="default" w:ascii="Times New Roman" w:hAnsi="Times New Roman" w:cs="Times New Roman"/>
          <w:color w:val="auto"/>
          <w:highlight w:val="none"/>
          <w:lang w:val="en-US" w:eastAsia="zh-CN"/>
        </w:rPr>
      </w:pPr>
      <w:bookmarkStart w:id="382" w:name="_Toc15636"/>
      <w:r>
        <w:rPr>
          <w:rFonts w:hint="default" w:ascii="Times New Roman" w:hAnsi="Times New Roman" w:cs="Times New Roman"/>
          <w:color w:val="auto"/>
          <w:highlight w:val="none"/>
          <w:lang w:val="en-US" w:eastAsia="zh-CN"/>
        </w:rPr>
        <w:t>2.1主体工程设计</w:t>
      </w:r>
      <w:bookmarkEnd w:id="38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衡阳市华天路新建工程</w:t>
      </w:r>
      <w:r>
        <w:rPr>
          <w:rFonts w:hint="default" w:ascii="Times New Roman" w:hAnsi="Times New Roman" w:cs="Times New Roman"/>
          <w:color w:val="auto"/>
          <w:highlight w:val="none"/>
        </w:rPr>
        <w:t>项目始于2016年。</w:t>
      </w:r>
      <w:r>
        <w:rPr>
          <w:rFonts w:hint="default" w:ascii="Times New Roman" w:hAnsi="Times New Roman" w:cs="Times New Roman"/>
          <w:color w:val="auto"/>
          <w:highlight w:val="none"/>
          <w:lang w:val="en-US" w:eastAsia="zh-CN"/>
        </w:rPr>
        <w:t>衡阳市城市建设投资</w:t>
      </w:r>
      <w:r>
        <w:rPr>
          <w:rFonts w:hint="default" w:ascii="Times New Roman" w:hAnsi="Times New Roman" w:cs="Times New Roman"/>
          <w:color w:val="auto"/>
          <w:highlight w:val="none"/>
        </w:rPr>
        <w:t>有限公司委托</w:t>
      </w:r>
      <w:r>
        <w:rPr>
          <w:rFonts w:hint="eastAsia" w:ascii="Times New Roman" w:hAnsi="Times New Roman" w:cs="Times New Roman"/>
          <w:color w:val="auto"/>
          <w:highlight w:val="none"/>
          <w:lang w:val="en-US" w:eastAsia="zh-CN"/>
        </w:rPr>
        <w:t>深圳市联合创艺建筑设计有限公司</w:t>
      </w:r>
      <w:r>
        <w:rPr>
          <w:rFonts w:hint="default" w:ascii="Times New Roman" w:hAnsi="Times New Roman" w:cs="Times New Roman"/>
          <w:color w:val="auto"/>
          <w:highlight w:val="none"/>
        </w:rPr>
        <w:t>（以下简称“主体设计单位”）编制 该项目的规划设计报告， 2016 年 1</w:t>
      </w:r>
      <w:r>
        <w:rPr>
          <w:rFonts w:hint="default" w:ascii="Times New Roman" w:hAnsi="Times New Roman" w:cs="Times New Roman"/>
          <w:color w:val="auto"/>
          <w:highlight w:val="none"/>
          <w:lang w:val="en-US" w:eastAsia="zh-CN"/>
        </w:rPr>
        <w:t>0</w:t>
      </w:r>
      <w:r>
        <w:rPr>
          <w:rFonts w:hint="default" w:ascii="Times New Roman" w:hAnsi="Times New Roman" w:cs="Times New Roman"/>
          <w:color w:val="auto"/>
          <w:highlight w:val="none"/>
        </w:rPr>
        <w:t xml:space="preserve"> 月，主体设计单位编制完成了《</w:t>
      </w: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项目可行性研究报告》。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201</w:t>
      </w:r>
      <w:r>
        <w:rPr>
          <w:rFonts w:hint="default" w:ascii="Times New Roman" w:hAnsi="Times New Roman" w:cs="Times New Roman"/>
          <w:color w:val="auto"/>
          <w:highlight w:val="none"/>
          <w:lang w:val="en-US" w:eastAsia="zh-CN"/>
        </w:rPr>
        <w:t>0</w:t>
      </w:r>
      <w:r>
        <w:rPr>
          <w:rFonts w:hint="default" w:ascii="Times New Roman" w:hAnsi="Times New Roman" w:cs="Times New Roman"/>
          <w:color w:val="auto"/>
          <w:highlight w:val="none"/>
        </w:rPr>
        <w:t>年 1</w:t>
      </w:r>
      <w:r>
        <w:rPr>
          <w:rFonts w:hint="default" w:ascii="Times New Roman" w:hAnsi="Times New Roman" w:cs="Times New Roman"/>
          <w:color w:val="auto"/>
          <w:highlight w:val="none"/>
          <w:lang w:val="en-US" w:eastAsia="zh-CN"/>
        </w:rPr>
        <w:t>0</w:t>
      </w:r>
      <w:r>
        <w:rPr>
          <w:rFonts w:hint="default" w:ascii="Times New Roman" w:hAnsi="Times New Roman" w:cs="Times New Roman"/>
          <w:color w:val="auto"/>
          <w:highlight w:val="none"/>
        </w:rPr>
        <w:t xml:space="preserve"> 月 13 日，湖南省发展和改革委员会下发了《湖南省发展和改革委员会关于</w:t>
      </w:r>
      <w:r>
        <w:rPr>
          <w:rFonts w:hint="eastAsia" w:ascii="Times New Roman" w:hAnsi="Times New Roman" w:cs="Times New Roman"/>
          <w:color w:val="auto"/>
          <w:highlight w:val="none"/>
          <w:lang w:val="en-US" w:eastAsia="zh-CN"/>
        </w:rPr>
        <w:t>衡阳市城市建设投资</w:t>
      </w:r>
      <w:r>
        <w:rPr>
          <w:rFonts w:hint="default" w:ascii="Times New Roman" w:hAnsi="Times New Roman" w:cs="Times New Roman"/>
          <w:color w:val="auto"/>
          <w:highlight w:val="none"/>
        </w:rPr>
        <w:t>有限公司</w:t>
      </w:r>
      <w:r>
        <w:rPr>
          <w:rFonts w:hint="eastAsia"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项目备案的通知》，准予</w:t>
      </w: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项目备案</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《通知》中明确项目 建设地点为湖南省</w:t>
      </w:r>
      <w:r>
        <w:rPr>
          <w:rFonts w:hint="default" w:ascii="Times New Roman" w:hAnsi="Times New Roman" w:cs="Times New Roman"/>
          <w:color w:val="auto"/>
          <w:highlight w:val="none"/>
          <w:lang w:val="en-US" w:eastAsia="zh-CN"/>
        </w:rPr>
        <w:t>湖南省衡阳市珠晖区华天路</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rPr>
        <w:t>201</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年10月，主体设计单位完成</w:t>
      </w: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项目初步设计。</w:t>
      </w:r>
    </w:p>
    <w:p>
      <w:pPr>
        <w:pStyle w:val="3"/>
        <w:bidi w:val="0"/>
        <w:rPr>
          <w:rFonts w:hint="default" w:ascii="Times New Roman" w:hAnsi="Times New Roman" w:cs="Times New Roman"/>
          <w:color w:val="auto"/>
          <w:highlight w:val="none"/>
          <w:lang w:val="en-US" w:eastAsia="zh-CN"/>
        </w:rPr>
      </w:pPr>
      <w:bookmarkStart w:id="383" w:name="_Toc22182"/>
      <w:r>
        <w:rPr>
          <w:rFonts w:hint="default" w:ascii="Times New Roman" w:hAnsi="Times New Roman" w:cs="Times New Roman"/>
          <w:color w:val="auto"/>
          <w:highlight w:val="none"/>
          <w:lang w:val="en-US" w:eastAsia="zh-CN"/>
        </w:rPr>
        <w:t>2.2水土保持方案</w:t>
      </w:r>
      <w:bookmarkEnd w:id="38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201</w:t>
      </w:r>
      <w:r>
        <w:rPr>
          <w:rFonts w:hint="default" w:ascii="Times New Roman" w:hAnsi="Times New Roman" w:cs="Times New Roman"/>
          <w:color w:val="auto"/>
          <w:highlight w:val="none"/>
          <w:lang w:val="en-US" w:eastAsia="zh-CN"/>
        </w:rPr>
        <w:t>6</w:t>
      </w:r>
      <w:r>
        <w:rPr>
          <w:rFonts w:hint="eastAsia" w:ascii="Times New Roman" w:hAnsi="Times New Roman" w:cs="Times New Roman"/>
          <w:color w:val="auto"/>
          <w:highlight w:val="none"/>
          <w:lang w:val="en-US" w:eastAsia="zh-CN"/>
        </w:rPr>
        <w:t>年</w:t>
      </w:r>
      <w:r>
        <w:rPr>
          <w:rFonts w:hint="default" w:ascii="Times New Roman" w:hAnsi="Times New Roman" w:cs="Times New Roman"/>
          <w:color w:val="auto"/>
          <w:highlight w:val="none"/>
          <w:lang w:val="en-US" w:eastAsia="zh-CN"/>
        </w:rPr>
        <w:t>8</w:t>
      </w:r>
      <w:r>
        <w:rPr>
          <w:rFonts w:hint="default" w:ascii="Times New Roman" w:hAnsi="Times New Roman" w:cs="Times New Roman"/>
          <w:color w:val="auto"/>
          <w:highlight w:val="none"/>
        </w:rPr>
        <w:t>月底，湖南</w:t>
      </w:r>
      <w:r>
        <w:rPr>
          <w:rFonts w:hint="default" w:ascii="Times New Roman" w:hAnsi="Times New Roman" w:cs="Times New Roman"/>
          <w:color w:val="auto"/>
          <w:highlight w:val="none"/>
          <w:lang w:val="en-US" w:eastAsia="zh-CN"/>
        </w:rPr>
        <w:t>华意项目管理有限公司</w:t>
      </w:r>
      <w:r>
        <w:rPr>
          <w:rFonts w:hint="default" w:ascii="Times New Roman" w:hAnsi="Times New Roman" w:cs="Times New Roman"/>
          <w:color w:val="auto"/>
          <w:highlight w:val="none"/>
        </w:rPr>
        <w:t>接到</w:t>
      </w:r>
      <w:r>
        <w:rPr>
          <w:rFonts w:hint="default" w:ascii="Times New Roman" w:hAnsi="Times New Roman" w:cs="Times New Roman"/>
          <w:color w:val="auto"/>
          <w:highlight w:val="none"/>
          <w:lang w:val="en-US" w:eastAsia="zh-CN"/>
        </w:rPr>
        <w:t>衡阳市城市建设投资</w:t>
      </w:r>
      <w:r>
        <w:rPr>
          <w:rFonts w:hint="default" w:ascii="Times New Roman" w:hAnsi="Times New Roman" w:cs="Times New Roman"/>
          <w:color w:val="auto"/>
          <w:highlight w:val="none"/>
        </w:rPr>
        <w:t>有限公司的委托，承担本项目的水土保持方案编制工作。方案编制单位组织了相关专业技术人员，通过现场查勘、调查、收资，以主体工程规划报告为依据，按照水土保持法等有关法律、法规及开发建设项目水土保持方案编制的规程、规范的要求， 认真研究和设计，于201</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年</w:t>
      </w:r>
      <w:r>
        <w:rPr>
          <w:rFonts w:hint="default" w:ascii="Times New Roman" w:hAnsi="Times New Roman" w:cs="Times New Roman"/>
          <w:color w:val="auto"/>
          <w:highlight w:val="none"/>
          <w:lang w:val="en-US" w:eastAsia="zh-CN"/>
        </w:rPr>
        <w:t>8</w:t>
      </w:r>
      <w:r>
        <w:rPr>
          <w:rFonts w:hint="default" w:ascii="Times New Roman" w:hAnsi="Times New Roman" w:cs="Times New Roman"/>
          <w:color w:val="auto"/>
          <w:highlight w:val="none"/>
        </w:rPr>
        <w:t>月底编制完成了《五矿有色控股铜铅锌产业基地铅改造及稀贵综合回收项目水土保 持方案报告书》（送审稿） ，201</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年</w:t>
      </w:r>
      <w:r>
        <w:rPr>
          <w:rFonts w:hint="default" w:ascii="Times New Roman" w:hAnsi="Times New Roman" w:cs="Times New Roman"/>
          <w:color w:val="auto"/>
          <w:highlight w:val="none"/>
          <w:lang w:val="en-US" w:eastAsia="zh-CN"/>
        </w:rPr>
        <w:t>10</w:t>
      </w:r>
      <w:r>
        <w:rPr>
          <w:rFonts w:hint="default" w:ascii="Times New Roman" w:hAnsi="Times New Roman" w:cs="Times New Roman"/>
          <w:color w:val="auto"/>
          <w:highlight w:val="none"/>
        </w:rPr>
        <w:t xml:space="preserve"> 月，衡阳市水利局对该水土保持方案报告书的送审稿进行了评审，形成了专家意见组评审意见。根据专家组评审意见，方案编制单位经与主体工程设计单位、项目建设单位进一步进行衔接</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对报告进行了修改和完善，并形成了《</w:t>
      </w: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项目水土保持方案报告书》（报批稿）。201</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年</w:t>
      </w:r>
      <w:r>
        <w:rPr>
          <w:rFonts w:hint="default" w:ascii="Times New Roman" w:hAnsi="Times New Roman" w:cs="Times New Roman"/>
          <w:color w:val="auto"/>
          <w:highlight w:val="none"/>
          <w:lang w:val="en-US" w:eastAsia="zh-CN"/>
        </w:rPr>
        <w:t>9</w:t>
      </w:r>
      <w:r>
        <w:rPr>
          <w:rFonts w:hint="default" w:ascii="Times New Roman" w:hAnsi="Times New Roman" w:cs="Times New Roman"/>
          <w:color w:val="auto"/>
          <w:highlight w:val="none"/>
        </w:rPr>
        <w:t>月</w:t>
      </w:r>
      <w:r>
        <w:rPr>
          <w:rFonts w:hint="default" w:ascii="Times New Roman" w:hAnsi="Times New Roman" w:cs="Times New Roman"/>
          <w:color w:val="auto"/>
          <w:highlight w:val="none"/>
          <w:lang w:val="en-US" w:eastAsia="zh-CN"/>
        </w:rPr>
        <w:t>27</w:t>
      </w:r>
      <w:r>
        <w:rPr>
          <w:rFonts w:hint="default" w:ascii="Times New Roman" w:hAnsi="Times New Roman" w:cs="Times New Roman"/>
          <w:color w:val="auto"/>
          <w:highlight w:val="none"/>
        </w:rPr>
        <w:t>日，衡阳市水利局对本项目水土保持方案进行了批复，并出具了批文《</w:t>
      </w: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项目水土保持方案 的批复》（衡水许〔201</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 xml:space="preserve">4 号），方案批复的水土保持责任范围为 </w:t>
      </w:r>
      <w:r>
        <w:rPr>
          <w:rFonts w:hint="default" w:ascii="Times New Roman" w:hAnsi="Times New Roman" w:cs="Times New Roman"/>
          <w:color w:val="auto"/>
          <w:highlight w:val="none"/>
          <w:lang w:val="en-US" w:eastAsia="zh-CN"/>
        </w:rPr>
        <w:t>8.51</w:t>
      </w:r>
      <w:r>
        <w:rPr>
          <w:rFonts w:hint="default" w:ascii="Times New Roman" w:hAnsi="Times New Roman" w:cs="Times New Roman"/>
          <w:color w:val="auto"/>
          <w:highlight w:val="none"/>
        </w:rPr>
        <w:t xml:space="preserve">hm2 ，其中，项目建设区 </w:t>
      </w:r>
      <w:r>
        <w:rPr>
          <w:rFonts w:hint="default" w:ascii="Times New Roman" w:hAnsi="Times New Roman" w:cs="Times New Roman"/>
          <w:color w:val="auto"/>
          <w:highlight w:val="none"/>
          <w:lang w:val="en-US" w:eastAsia="zh-CN"/>
        </w:rPr>
        <w:t>8.51</w:t>
      </w:r>
      <w:r>
        <w:rPr>
          <w:rFonts w:hint="default" w:ascii="Times New Roman" w:hAnsi="Times New Roman" w:cs="Times New Roman"/>
          <w:color w:val="auto"/>
          <w:highlight w:val="none"/>
        </w:rPr>
        <w:t>hm2，直接影响区 0.</w:t>
      </w:r>
      <w:r>
        <w:rPr>
          <w:rFonts w:hint="default" w:ascii="Times New Roman" w:hAnsi="Times New Roman" w:cs="Times New Roman"/>
          <w:color w:val="auto"/>
          <w:highlight w:val="none"/>
          <w:lang w:val="en-US" w:eastAsia="zh-CN"/>
        </w:rPr>
        <w:t>76</w:t>
      </w:r>
      <w:r>
        <w:rPr>
          <w:rFonts w:hint="default" w:ascii="Times New Roman" w:hAnsi="Times New Roman" w:cs="Times New Roman"/>
          <w:color w:val="auto"/>
          <w:highlight w:val="none"/>
        </w:rPr>
        <w:t>hm2。方案报告书在结合主体工程设计中已有的水土保持工程基础上，新增部分水土保持措施，主要包括： 1 ）主体工程区：主要是做好施工过程中的拦挡、排水、沉沙、覆盖等防护措施。施工准备期对场平范围内可用表土进行剥离，并将表土集中堆放至临时堆土区统一进行防护，后期用于本项目绿化区域表 土回填</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沿挖填零线布设临时排水沉沙措施，对场平产生的边坡做好临时覆盖措施</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项目区出口设洗车平台。基建期区内按永临结合布设排水措施，对基础及管线开挖，主要是针对其分区分段施工、工期较短的特点，加强雨季回填土方的临时覆盖</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对基础及管沟周边采取临时拦挡措施。植被恢复期回填表土，对场区园林绿化区域进行绿化， 对边 坡进行绿化防护措施。 2）施工临建区：施工准备期主要是做好施工过程中的临时排水、 沉沙、压盖等防护措施，施工结束后主体设计进行硬化。 3）临时堆土区：施工准备期主要是做好施工过程中的临时拦挡、排水、沉沙、覆盖等防护措施，施工结束后主体设 计进行硬化。 4）进场道路区：施工准备期主要是做好表土剥离措施，临时排水及沉沙措施， 植被恢复期对绿化区域土地平整</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表土回填及土路肩绿化措施。方案设计水土保持总投资</w:t>
      </w:r>
      <w:r>
        <w:rPr>
          <w:rFonts w:hint="default" w:ascii="Times New Roman" w:hAnsi="Times New Roman" w:cs="Times New Roman"/>
          <w:color w:val="auto"/>
          <w:highlight w:val="none"/>
          <w:lang w:val="en-US" w:eastAsia="zh-CN"/>
        </w:rPr>
        <w:t>763.46</w:t>
      </w:r>
      <w:r>
        <w:rPr>
          <w:rFonts w:hint="default" w:ascii="Times New Roman" w:hAnsi="Times New Roman" w:cs="Times New Roman"/>
          <w:color w:val="auto"/>
          <w:highlight w:val="none"/>
        </w:rPr>
        <w:t>万元，其中，主体设计中已列水土保持投资</w:t>
      </w:r>
      <w:r>
        <w:rPr>
          <w:rFonts w:hint="default" w:ascii="Times New Roman" w:hAnsi="Times New Roman" w:cs="Times New Roman"/>
          <w:color w:val="auto"/>
          <w:highlight w:val="none"/>
          <w:lang w:val="en-US" w:eastAsia="zh-CN"/>
        </w:rPr>
        <w:t>574.46</w:t>
      </w:r>
      <w:r>
        <w:rPr>
          <w:rFonts w:hint="default" w:ascii="Times New Roman" w:hAnsi="Times New Roman" w:cs="Times New Roman"/>
          <w:color w:val="auto"/>
          <w:highlight w:val="none"/>
        </w:rPr>
        <w:t>万元，新增水土保持投资 1</w:t>
      </w:r>
      <w:r>
        <w:rPr>
          <w:rFonts w:hint="default" w:ascii="Times New Roman" w:hAnsi="Times New Roman" w:cs="Times New Roman"/>
          <w:color w:val="auto"/>
          <w:highlight w:val="none"/>
          <w:lang w:val="en-US" w:eastAsia="zh-CN"/>
        </w:rPr>
        <w:t>89</w:t>
      </w:r>
      <w:r>
        <w:rPr>
          <w:rFonts w:hint="default" w:ascii="Times New Roman" w:hAnsi="Times New Roman" w:cs="Times New Roman"/>
          <w:color w:val="auto"/>
          <w:highlight w:val="none"/>
        </w:rPr>
        <w:t xml:space="preserve"> 万元。其中工程措施</w:t>
      </w:r>
      <w:r>
        <w:rPr>
          <w:rFonts w:hint="default" w:ascii="Times New Roman" w:hAnsi="Times New Roman" w:cs="Times New Roman"/>
          <w:color w:val="auto"/>
          <w:highlight w:val="none"/>
          <w:lang w:val="en-US" w:eastAsia="zh-CN"/>
        </w:rPr>
        <w:t>48.27</w:t>
      </w:r>
      <w:r>
        <w:rPr>
          <w:rFonts w:hint="default" w:ascii="Times New Roman" w:hAnsi="Times New Roman" w:cs="Times New Roman"/>
          <w:color w:val="auto"/>
          <w:highlight w:val="none"/>
        </w:rPr>
        <w:t xml:space="preserve">万元、植物措施 </w:t>
      </w:r>
      <w:r>
        <w:rPr>
          <w:rFonts w:hint="default" w:ascii="Times New Roman" w:hAnsi="Times New Roman" w:cs="Times New Roman"/>
          <w:color w:val="auto"/>
          <w:highlight w:val="none"/>
          <w:lang w:val="en-US" w:eastAsia="zh-CN"/>
        </w:rPr>
        <w:t>58.8</w:t>
      </w:r>
      <w:r>
        <w:rPr>
          <w:rFonts w:hint="default" w:ascii="Times New Roman" w:hAnsi="Times New Roman" w:cs="Times New Roman"/>
          <w:color w:val="auto"/>
          <w:highlight w:val="none"/>
        </w:rPr>
        <w:t xml:space="preserve"> 万元、临时工程措施</w:t>
      </w:r>
      <w:r>
        <w:rPr>
          <w:rFonts w:hint="default" w:ascii="Times New Roman" w:hAnsi="Times New Roman" w:cs="Times New Roman"/>
          <w:color w:val="auto"/>
          <w:highlight w:val="none"/>
          <w:lang w:val="en-US" w:eastAsia="zh-CN"/>
        </w:rPr>
        <w:t>50.44</w:t>
      </w:r>
      <w:r>
        <w:rPr>
          <w:rFonts w:hint="default" w:ascii="Times New Roman" w:hAnsi="Times New Roman" w:cs="Times New Roman"/>
          <w:color w:val="auto"/>
          <w:highlight w:val="none"/>
        </w:rPr>
        <w:t xml:space="preserve"> 万元；独立费用1</w:t>
      </w:r>
      <w:r>
        <w:rPr>
          <w:rFonts w:hint="default" w:ascii="Times New Roman" w:hAnsi="Times New Roman" w:cs="Times New Roman"/>
          <w:color w:val="auto"/>
          <w:highlight w:val="none"/>
          <w:lang w:val="en-US" w:eastAsia="zh-CN"/>
        </w:rPr>
        <w:t>5.94</w:t>
      </w:r>
      <w:r>
        <w:rPr>
          <w:rFonts w:hint="default" w:ascii="Times New Roman" w:hAnsi="Times New Roman" w:cs="Times New Roman"/>
          <w:color w:val="auto"/>
          <w:highlight w:val="none"/>
        </w:rPr>
        <w:t xml:space="preserve"> 万元、基本预备费</w:t>
      </w:r>
      <w:r>
        <w:rPr>
          <w:rFonts w:hint="default" w:ascii="Times New Roman" w:hAnsi="Times New Roman" w:cs="Times New Roman"/>
          <w:color w:val="auto"/>
          <w:highlight w:val="none"/>
          <w:lang w:val="en-US" w:eastAsia="zh-CN"/>
        </w:rPr>
        <w:t>5.28</w:t>
      </w:r>
      <w:r>
        <w:rPr>
          <w:rFonts w:hint="default" w:ascii="Times New Roman" w:hAnsi="Times New Roman" w:cs="Times New Roman"/>
          <w:color w:val="auto"/>
          <w:highlight w:val="none"/>
        </w:rPr>
        <w:t>万元</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水土保持补偿费7.</w:t>
      </w:r>
      <w:r>
        <w:rPr>
          <w:rFonts w:hint="default" w:ascii="Times New Roman" w:hAnsi="Times New Roman" w:cs="Times New Roman"/>
          <w:color w:val="auto"/>
          <w:highlight w:val="none"/>
          <w:lang w:val="en-US" w:eastAsia="zh-CN"/>
        </w:rPr>
        <w:t>8</w:t>
      </w:r>
      <w:r>
        <w:rPr>
          <w:rFonts w:hint="default" w:ascii="Times New Roman" w:hAnsi="Times New Roman" w:cs="Times New Roman"/>
          <w:color w:val="auto"/>
          <w:highlight w:val="none"/>
        </w:rPr>
        <w:t>2万元。</w:t>
      </w:r>
    </w:p>
    <w:p>
      <w:pPr>
        <w:pStyle w:val="3"/>
        <w:bidi w:val="0"/>
        <w:rPr>
          <w:rFonts w:hint="default" w:ascii="Times New Roman" w:hAnsi="Times New Roman" w:cs="Times New Roman"/>
          <w:color w:val="auto"/>
          <w:highlight w:val="none"/>
          <w:lang w:val="en-US" w:eastAsia="zh-CN"/>
        </w:rPr>
      </w:pPr>
      <w:bookmarkStart w:id="384" w:name="_Toc22288"/>
      <w:r>
        <w:rPr>
          <w:rFonts w:hint="default" w:ascii="Times New Roman" w:hAnsi="Times New Roman" w:cs="Times New Roman"/>
          <w:color w:val="auto"/>
          <w:highlight w:val="none"/>
          <w:lang w:val="en-US" w:eastAsia="zh-CN"/>
        </w:rPr>
        <w:t>2.3水土保持方案变更</w:t>
      </w:r>
      <w:bookmarkEnd w:id="38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本工程不涉及水土保持重大变更。</w:t>
      </w:r>
    </w:p>
    <w:p>
      <w:pPr>
        <w:pStyle w:val="3"/>
        <w:bidi w:val="0"/>
        <w:rPr>
          <w:rFonts w:hint="default" w:ascii="Times New Roman" w:hAnsi="Times New Roman" w:eastAsia="仿宋" w:cs="Times New Roman"/>
          <w:color w:val="auto"/>
          <w:szCs w:val="24"/>
          <w:highlight w:val="none"/>
          <w:lang w:val="en-US" w:eastAsia="zh-CN"/>
        </w:rPr>
      </w:pPr>
      <w:bookmarkStart w:id="385" w:name="_Toc16928"/>
      <w:r>
        <w:rPr>
          <w:rFonts w:hint="default" w:ascii="Times New Roman" w:hAnsi="Times New Roman" w:cs="Times New Roman"/>
          <w:color w:val="auto"/>
          <w:highlight w:val="none"/>
          <w:lang w:val="en-US" w:eastAsia="zh-CN"/>
        </w:rPr>
        <w:t>2.4水土保持后续设计</w:t>
      </w:r>
      <w:bookmarkEnd w:id="38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szCs w:val="24"/>
          <w:highlight w:val="none"/>
        </w:rPr>
      </w:pPr>
      <w:r>
        <w:rPr>
          <w:rFonts w:hint="default" w:ascii="Times New Roman" w:hAnsi="Times New Roman" w:cs="Times New Roman"/>
          <w:color w:val="auto"/>
          <w:highlight w:val="none"/>
        </w:rPr>
        <w:t>本工程将水土保持后续设计施工纳入到主体设计施工当中进行，包含了水土保持分 部工程、单位工程等，未单独进行水土保持后续设计。</w:t>
      </w:r>
    </w:p>
    <w:p>
      <w:p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br w:type="page"/>
      </w:r>
    </w:p>
    <w:p>
      <w:pPr>
        <w:pStyle w:val="2"/>
        <w:bidi w:val="0"/>
        <w:rPr>
          <w:rFonts w:hint="default" w:ascii="Times New Roman" w:hAnsi="Times New Roman" w:cs="Times New Roman"/>
          <w:color w:val="auto"/>
          <w:highlight w:val="none"/>
          <w:lang w:val="en-US" w:eastAsia="zh-CN"/>
        </w:rPr>
        <w:sectPr>
          <w:headerReference r:id="rId28" w:type="default"/>
          <w:pgSz w:w="11906" w:h="16838"/>
          <w:pgMar w:top="1440" w:right="1440" w:bottom="1440" w:left="1440" w:header="851" w:footer="992" w:gutter="0"/>
          <w:pgNumType w:fmt="decimal"/>
          <w:cols w:space="425" w:num="1"/>
          <w:docGrid w:type="lines" w:linePitch="312" w:charSpace="0"/>
        </w:sectPr>
      </w:pPr>
    </w:p>
    <w:p>
      <w:pPr>
        <w:pStyle w:val="2"/>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3水土保持方案实施情况</w:t>
      </w:r>
    </w:p>
    <w:p>
      <w:pPr>
        <w:pStyle w:val="3"/>
        <w:bidi w:val="0"/>
        <w:outlineLvl w:val="0"/>
        <w:rPr>
          <w:rFonts w:hint="default" w:ascii="Times New Roman" w:hAnsi="Times New Roman" w:cs="Times New Roman"/>
          <w:color w:val="auto"/>
          <w:highlight w:val="none"/>
          <w:lang w:val="en-US" w:eastAsia="zh-CN"/>
        </w:rPr>
      </w:pPr>
      <w:bookmarkStart w:id="386" w:name="_Toc13695"/>
      <w:r>
        <w:rPr>
          <w:rFonts w:hint="default" w:ascii="Times New Roman" w:hAnsi="Times New Roman" w:cs="Times New Roman"/>
          <w:color w:val="auto"/>
          <w:highlight w:val="none"/>
          <w:lang w:val="en-US" w:eastAsia="zh-CN"/>
        </w:rPr>
        <w:t>3.1水土流失防治责任范围</w:t>
      </w:r>
      <w:bookmarkEnd w:id="386"/>
    </w:p>
    <w:p>
      <w:pPr>
        <w:keepNext w:val="0"/>
        <w:keepLines w:val="0"/>
        <w:pageBreakBefore w:val="0"/>
        <w:widowControl w:val="0"/>
        <w:kinsoku/>
        <w:wordWrap/>
        <w:overflowPunct/>
        <w:topLinePunct w:val="0"/>
        <w:autoSpaceDE/>
        <w:autoSpaceDN/>
        <w:bidi w:val="0"/>
        <w:adjustRightInd/>
        <w:snapToGrid/>
        <w:spacing w:line="360" w:lineRule="auto"/>
        <w:ind w:firstLine="46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5"/>
          <w:highlight w:val="none"/>
        </w:rPr>
        <w:t>批复的方案报告书中，本工程建设项目包括：</w:t>
      </w:r>
      <w:r>
        <w:rPr>
          <w:rFonts w:hint="default" w:ascii="Times New Roman" w:hAnsi="Times New Roman" w:cs="Times New Roman"/>
          <w:color w:val="auto"/>
          <w:spacing w:val="-5"/>
          <w:highlight w:val="none"/>
          <w:lang w:val="en-US" w:eastAsia="zh-CN"/>
        </w:rPr>
        <w:t>道路工程、给排水及防护工程、电力工程及绿化工程</w:t>
      </w:r>
      <w:r>
        <w:rPr>
          <w:rFonts w:hint="default" w:ascii="Times New Roman" w:hAnsi="Times New Roman" w:cs="Times New Roman"/>
          <w:color w:val="auto"/>
          <w:spacing w:val="-7"/>
          <w:highlight w:val="none"/>
        </w:rPr>
        <w:t>等。工程水土流失</w:t>
      </w:r>
      <w:r>
        <w:rPr>
          <w:rFonts w:hint="default" w:ascii="Times New Roman" w:hAnsi="Times New Roman" w:cs="Times New Roman"/>
          <w:color w:val="auto"/>
          <w:spacing w:val="-3"/>
          <w:highlight w:val="none"/>
        </w:rPr>
        <w:t>防治责任范围为</w:t>
      </w:r>
      <w:r>
        <w:rPr>
          <w:rFonts w:hint="default" w:ascii="Times New Roman" w:hAnsi="Times New Roman" w:cs="Times New Roman"/>
          <w:color w:val="auto"/>
          <w:spacing w:val="-3"/>
          <w:highlight w:val="none"/>
          <w:lang w:val="en-US" w:eastAsia="zh-CN"/>
        </w:rPr>
        <w:t>9.27</w:t>
      </w:r>
      <w:r>
        <w:rPr>
          <w:rFonts w:hint="default" w:ascii="Times New Roman" w:hAnsi="Times New Roman" w:cs="Times New Roman"/>
          <w:color w:val="auto"/>
          <w:spacing w:val="-3"/>
          <w:highlight w:val="none"/>
        </w:rPr>
        <w:t xml:space="preserve"> </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rPr>
        <w:t>，根据水土保持监测现场量测和</w:t>
      </w:r>
      <w:r>
        <w:rPr>
          <w:rFonts w:hint="default" w:ascii="Times New Roman" w:hAnsi="Times New Roman" w:cs="Times New Roman"/>
          <w:color w:val="auto"/>
          <w:spacing w:val="-1"/>
          <w:highlight w:val="none"/>
          <w:lang w:val="en-US" w:eastAsia="zh-CN"/>
        </w:rPr>
        <w:t>衡阳市城市建设投资有限公司</w:t>
      </w:r>
      <w:r>
        <w:rPr>
          <w:rFonts w:hint="default" w:ascii="Times New Roman" w:hAnsi="Times New Roman" w:cs="Times New Roman"/>
          <w:color w:val="auto"/>
          <w:spacing w:val="-1"/>
          <w:highlight w:val="none"/>
        </w:rPr>
        <w:t>提</w:t>
      </w:r>
      <w:r>
        <w:rPr>
          <w:rFonts w:hint="default" w:ascii="Times New Roman" w:hAnsi="Times New Roman" w:cs="Times New Roman"/>
          <w:color w:val="auto"/>
          <w:spacing w:val="-3"/>
          <w:highlight w:val="none"/>
        </w:rPr>
        <w:t>供的用地文件等相关资料，本工程实际水土流失防治责任范围为</w:t>
      </w:r>
      <w:r>
        <w:rPr>
          <w:rFonts w:hint="default" w:ascii="Times New Roman" w:hAnsi="Times New Roman" w:cs="Times New Roman"/>
          <w:color w:val="auto"/>
          <w:spacing w:val="-3"/>
          <w:highlight w:val="none"/>
          <w:lang w:val="en-US" w:eastAsia="zh-CN"/>
        </w:rPr>
        <w:t>8.51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2" w:firstLineChars="200"/>
        <w:jc w:val="center"/>
        <w:textAlignment w:val="auto"/>
        <w:rPr>
          <w:rFonts w:hint="default" w:ascii="Times New Roman" w:hAnsi="Times New Roman" w:cs="Times New Roman"/>
          <w:b/>
          <w:bCs/>
          <w:color w:val="auto"/>
          <w:sz w:val="24"/>
          <w:szCs w:val="24"/>
          <w:highlight w:val="none"/>
          <w:lang w:val="en-US" w:eastAsia="zh-CN"/>
        </w:rPr>
      </w:pPr>
      <w:r>
        <w:rPr>
          <w:rFonts w:hint="default" w:ascii="Times New Roman" w:hAnsi="Times New Roman" w:cs="Times New Roman"/>
          <w:b/>
          <w:bCs/>
          <w:color w:val="auto"/>
          <w:sz w:val="24"/>
          <w:szCs w:val="24"/>
          <w:highlight w:val="none"/>
          <w:lang w:val="en-US" w:eastAsia="zh-CN"/>
        </w:rPr>
        <w:t>项目区防治责任范围</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130"/>
        <w:gridCol w:w="2130"/>
        <w:gridCol w:w="2131"/>
        <w:gridCol w:w="213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分区</w:t>
            </w:r>
          </w:p>
        </w:tc>
        <w:tc>
          <w:tcPr>
            <w:tcW w:w="6392" w:type="dxa"/>
            <w:gridSpan w:val="3"/>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防治责任范围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方案报告书</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实际施工</w:t>
            </w:r>
          </w:p>
        </w:tc>
        <w:tc>
          <w:tcPr>
            <w:tcW w:w="213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增减情况</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项目建设区</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项目建设区</w:t>
            </w:r>
          </w:p>
        </w:tc>
        <w:tc>
          <w:tcPr>
            <w:tcW w:w="213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3.80</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3.75</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附属设施区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弃渣场区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0.10</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施工生产生活区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0.20</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0.20</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临时堆土区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小计</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直接影响区</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0.76</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合计</w:t>
            </w:r>
          </w:p>
        </w:tc>
        <w:tc>
          <w:tcPr>
            <w:tcW w:w="213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9.27</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8.51</w:t>
            </w:r>
          </w:p>
        </w:tc>
        <w:tc>
          <w:tcPr>
            <w:tcW w:w="213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0.76</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主要变化原因如下：</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highlight w:val="none"/>
          <w:lang w:val="en-US" w:eastAsia="zh-CN"/>
        </w:rPr>
        <w:t>主体工程区：主体实际施工与与前期设计基本一致，未有较大变化，因此，主体工程区占地与方案阶段基本一致，减少0.05</w:t>
      </w:r>
      <w:r>
        <w:rPr>
          <w:rFonts w:hint="default" w:ascii="Times New Roman" w:hAnsi="Times New Roman" w:cs="Times New Roman"/>
          <w:color w:val="auto"/>
          <w:spacing w:val="-3"/>
          <w:highlight w:val="none"/>
        </w:rPr>
        <w:t xml:space="preserve"> </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预留发展用地征地。</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76"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spacing w:val="-1"/>
          <w:highlight w:val="none"/>
          <w:lang w:val="en-US" w:eastAsia="zh-CN"/>
        </w:rPr>
        <w:t>附属设施区：原水保方案设计附属设施区施工1.41</w:t>
      </w:r>
      <w:r>
        <w:rPr>
          <w:rFonts w:hint="default" w:ascii="Times New Roman" w:hAnsi="Times New Roman" w:cs="Times New Roman"/>
          <w:color w:val="auto"/>
          <w:spacing w:val="-3"/>
          <w:highlight w:val="none"/>
        </w:rPr>
        <w:t xml:space="preserve"> </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。实际施工过程中，附属建设区为1.41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76"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spacing w:val="-1"/>
          <w:highlight w:val="none"/>
          <w:lang w:val="en-US" w:eastAsia="zh-CN"/>
        </w:rPr>
        <w:t>弃渣场区：原水保方案设计弃渣场区占地0.84</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实际施工中占地0.84</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较方案相比，未发生重大变化。</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76"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spacing w:val="-1"/>
          <w:highlight w:val="none"/>
          <w:lang w:val="en-US" w:eastAsia="zh-CN"/>
        </w:rPr>
        <w:t>取土场区：原水保方案设计取土场区2</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，实际施工中占地2</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76"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spacing w:val="-1"/>
          <w:highlight w:val="none"/>
          <w:lang w:val="en-US" w:eastAsia="zh-CN"/>
        </w:rPr>
        <w:t>施工便道区：原水保方案设计施工道路占地0.05</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，实际施工占地0.1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76"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spacing w:val="-1"/>
          <w:highlight w:val="none"/>
          <w:lang w:val="en-US" w:eastAsia="zh-CN"/>
        </w:rPr>
        <w:t>临时堆土区：原水保方案设计临时堆土占地0.21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，实际施工中占地0.21</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1"/>
          <w:highlight w:val="none"/>
          <w:lang w:val="en-US" w:eastAsia="zh-CN"/>
        </w:rPr>
        <w:t>，较方案相比未发生重大变化。</w:t>
      </w:r>
    </w:p>
    <w:p>
      <w:pPr>
        <w:keepNext w:val="0"/>
        <w:keepLines w:val="0"/>
        <w:pageBreakBefore w:val="0"/>
        <w:widowControl w:val="0"/>
        <w:numPr>
          <w:ilvl w:val="0"/>
          <w:numId w:val="13"/>
        </w:numPr>
        <w:kinsoku/>
        <w:wordWrap/>
        <w:overflowPunct/>
        <w:topLinePunct w:val="0"/>
        <w:autoSpaceDE/>
        <w:autoSpaceDN/>
        <w:bidi w:val="0"/>
        <w:adjustRightInd/>
        <w:snapToGrid/>
        <w:spacing w:line="360" w:lineRule="auto"/>
        <w:ind w:firstLine="476" w:firstLineChars="200"/>
        <w:jc w:val="both"/>
        <w:textAlignment w:val="auto"/>
        <w:rPr>
          <w:rFonts w:hint="default" w:ascii="Times New Roman" w:hAnsi="Times New Roman" w:cs="Times New Roman"/>
          <w:color w:val="auto"/>
          <w:spacing w:val="-1"/>
          <w:highlight w:val="none"/>
          <w:lang w:val="en-US" w:eastAsia="zh-CN"/>
        </w:rPr>
      </w:pPr>
      <w:r>
        <w:rPr>
          <w:rFonts w:hint="default" w:ascii="Times New Roman" w:hAnsi="Times New Roman" w:cs="Times New Roman"/>
          <w:color w:val="auto"/>
          <w:spacing w:val="-1"/>
          <w:highlight w:val="none"/>
          <w:lang w:val="en-US" w:eastAsia="zh-CN"/>
        </w:rPr>
        <w:t>直接影响区：</w:t>
      </w:r>
      <w:r>
        <w:rPr>
          <w:rFonts w:hint="default" w:ascii="Times New Roman" w:hAnsi="Times New Roman" w:cs="Times New Roman"/>
          <w:color w:val="auto"/>
          <w:spacing w:val="-7"/>
          <w:sz w:val="24"/>
          <w:highlight w:val="none"/>
        </w:rPr>
        <w:t>方案设计阶段直接影响区包括主体工程区和进场道路区直接影</w:t>
      </w:r>
      <w:r>
        <w:rPr>
          <w:rFonts w:hint="default" w:ascii="Times New Roman" w:hAnsi="Times New Roman" w:cs="Times New Roman"/>
          <w:color w:val="auto"/>
          <w:spacing w:val="-8"/>
          <w:sz w:val="24"/>
          <w:highlight w:val="none"/>
        </w:rPr>
        <w:t>响区，实际施工过程中，本工程场坪施工由当地政府负责，建设单位只对用地红线范围</w:t>
      </w:r>
      <w:r>
        <w:rPr>
          <w:rFonts w:hint="default" w:ascii="Times New Roman" w:hAnsi="Times New Roman" w:cs="Times New Roman"/>
          <w:color w:val="auto"/>
          <w:spacing w:val="-4"/>
          <w:sz w:val="24"/>
          <w:highlight w:val="none"/>
        </w:rPr>
        <w:t>内厂区土地进行扰动，不存在直接影响区。</w:t>
      </w:r>
    </w:p>
    <w:p>
      <w:pPr>
        <w:pStyle w:val="3"/>
        <w:bidi w:val="0"/>
        <w:outlineLvl w:val="0"/>
        <w:rPr>
          <w:rFonts w:hint="default" w:ascii="Times New Roman" w:hAnsi="Times New Roman" w:cs="Times New Roman"/>
          <w:color w:val="auto"/>
          <w:highlight w:val="none"/>
          <w:lang w:val="en-US" w:eastAsia="zh-CN"/>
        </w:rPr>
      </w:pPr>
      <w:bookmarkStart w:id="387" w:name="_Toc12589"/>
      <w:r>
        <w:rPr>
          <w:rFonts w:hint="default" w:ascii="Times New Roman" w:hAnsi="Times New Roman" w:cs="Times New Roman"/>
          <w:color w:val="auto"/>
          <w:highlight w:val="none"/>
          <w:lang w:val="en-US" w:eastAsia="zh-CN"/>
        </w:rPr>
        <w:t>3.2弃渣场设置</w:t>
      </w:r>
      <w:bookmarkEnd w:id="387"/>
    </w:p>
    <w:p>
      <w:pPr>
        <w:pStyle w:val="4"/>
        <w:bidi w:val="0"/>
        <w:outlineLvl w:val="1"/>
        <w:rPr>
          <w:rFonts w:hint="default" w:ascii="Times New Roman" w:hAnsi="Times New Roman" w:cs="Times New Roman"/>
          <w:color w:val="auto"/>
          <w:highlight w:val="none"/>
          <w:lang w:val="en-US" w:eastAsia="zh-CN"/>
        </w:rPr>
      </w:pPr>
      <w:bookmarkStart w:id="388" w:name="_Toc10119"/>
      <w:bookmarkStart w:id="389" w:name="_Toc27925"/>
      <w:r>
        <w:rPr>
          <w:rFonts w:hint="default" w:ascii="Times New Roman" w:hAnsi="Times New Roman" w:cs="Times New Roman"/>
          <w:color w:val="auto"/>
          <w:highlight w:val="none"/>
          <w:lang w:val="en-US" w:eastAsia="zh-CN"/>
        </w:rPr>
        <w:t>3.2.1方案设计弃渣情况</w:t>
      </w:r>
      <w:bookmarkEnd w:id="388"/>
      <w:bookmarkEnd w:id="38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 xml:space="preserve">根据批复的水土保持方案报告书， 主体工程总开挖量 </w:t>
      </w:r>
      <w:r>
        <w:rPr>
          <w:rFonts w:hint="default" w:ascii="Times New Roman" w:hAnsi="Times New Roman" w:cs="Times New Roman"/>
          <w:color w:val="auto"/>
          <w:highlight w:val="none"/>
          <w:lang w:val="en-US" w:eastAsia="zh-CN"/>
        </w:rPr>
        <w:t>5.02</w:t>
      </w:r>
      <w:r>
        <w:rPr>
          <w:rFonts w:hint="default" w:ascii="Times New Roman" w:hAnsi="Times New Roman" w:cs="Times New Roman"/>
          <w:color w:val="auto"/>
          <w:highlight w:val="none"/>
        </w:rPr>
        <w:t xml:space="preserve"> 万 m3，；总填方量 </w:t>
      </w:r>
      <w:r>
        <w:rPr>
          <w:rFonts w:hint="default" w:ascii="Times New Roman" w:hAnsi="Times New Roman" w:cs="Times New Roman"/>
          <w:color w:val="auto"/>
          <w:highlight w:val="none"/>
          <w:lang w:val="en-US" w:eastAsia="zh-CN"/>
        </w:rPr>
        <w:t>12.74</w:t>
      </w:r>
      <w:r>
        <w:rPr>
          <w:rFonts w:hint="default" w:ascii="Times New Roman" w:hAnsi="Times New Roman" w:cs="Times New Roman"/>
          <w:color w:val="auto"/>
          <w:highlight w:val="none"/>
        </w:rPr>
        <w:t xml:space="preserve"> 万 m3 ；总弃方量为 </w:t>
      </w:r>
      <w:r>
        <w:rPr>
          <w:rFonts w:hint="default" w:ascii="Times New Roman" w:hAnsi="Times New Roman" w:cs="Times New Roman"/>
          <w:color w:val="auto"/>
          <w:highlight w:val="none"/>
          <w:lang w:val="en-US" w:eastAsia="zh-CN"/>
        </w:rPr>
        <w:t>5.02</w:t>
      </w:r>
      <w:r>
        <w:rPr>
          <w:rFonts w:hint="default" w:ascii="Times New Roman" w:hAnsi="Times New Roman" w:cs="Times New Roman"/>
          <w:color w:val="auto"/>
          <w:highlight w:val="none"/>
        </w:rPr>
        <w:t xml:space="preserve"> 万 m3 </w:t>
      </w:r>
      <w:r>
        <w:rPr>
          <w:rFonts w:hint="default" w:ascii="Times New Roman" w:hAnsi="Times New Roman" w:cs="Times New Roman"/>
          <w:color w:val="auto"/>
          <w:highlight w:val="none"/>
          <w:lang w:eastAsia="zh-CN"/>
        </w:rPr>
        <w:t>。</w:t>
      </w:r>
    </w:p>
    <w:p>
      <w:pPr>
        <w:pStyle w:val="4"/>
        <w:bidi w:val="0"/>
        <w:outlineLvl w:val="1"/>
        <w:rPr>
          <w:rFonts w:hint="default" w:ascii="Times New Roman" w:hAnsi="Times New Roman" w:cs="Times New Roman"/>
          <w:color w:val="auto"/>
          <w:highlight w:val="none"/>
          <w:lang w:val="en-US" w:eastAsia="zh-CN"/>
        </w:rPr>
      </w:pPr>
      <w:bookmarkStart w:id="390" w:name="_Toc20258"/>
      <w:bookmarkStart w:id="391" w:name="_Toc31859"/>
      <w:r>
        <w:rPr>
          <w:rFonts w:hint="default" w:ascii="Times New Roman" w:hAnsi="Times New Roman" w:cs="Times New Roman"/>
          <w:color w:val="auto"/>
          <w:highlight w:val="none"/>
          <w:lang w:val="en-US" w:eastAsia="zh-CN"/>
        </w:rPr>
        <w:t>3.2.2实际弃渣情况</w:t>
      </w:r>
      <w:bookmarkEnd w:id="390"/>
      <w:bookmarkEnd w:id="391"/>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 xml:space="preserve">本工程实际弃方量 </w:t>
      </w:r>
      <w:r>
        <w:rPr>
          <w:rFonts w:hint="default" w:ascii="Times New Roman" w:hAnsi="Times New Roman" w:cs="Times New Roman"/>
          <w:color w:val="auto"/>
          <w:highlight w:val="none"/>
          <w:lang w:val="en-US" w:eastAsia="zh-CN"/>
        </w:rPr>
        <w:t>5.02</w:t>
      </w:r>
      <w:r>
        <w:rPr>
          <w:rFonts w:hint="default" w:ascii="Times New Roman" w:hAnsi="Times New Roman" w:cs="Times New Roman"/>
          <w:color w:val="auto"/>
          <w:highlight w:val="none"/>
        </w:rPr>
        <w:t xml:space="preserve"> 万 m3 </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lang w:val="en-US" w:eastAsia="zh-CN"/>
        </w:rPr>
        <w:t>与</w:t>
      </w:r>
      <w:r>
        <w:rPr>
          <w:rFonts w:hint="default" w:ascii="Times New Roman" w:hAnsi="Times New Roman" w:cs="Times New Roman"/>
          <w:color w:val="auto"/>
          <w:highlight w:val="none"/>
        </w:rPr>
        <w:t>方案报告书</w:t>
      </w:r>
      <w:r>
        <w:rPr>
          <w:rFonts w:hint="default" w:ascii="Times New Roman" w:hAnsi="Times New Roman" w:cs="Times New Roman"/>
          <w:color w:val="auto"/>
          <w:highlight w:val="none"/>
          <w:lang w:val="en-US" w:eastAsia="zh-CN"/>
        </w:rPr>
        <w:t>设计无变化</w:t>
      </w:r>
      <w:r>
        <w:rPr>
          <w:rFonts w:hint="default" w:ascii="Times New Roman" w:hAnsi="Times New Roman" w:cs="Times New Roman"/>
          <w:color w:val="auto"/>
          <w:highlight w:val="none"/>
        </w:rPr>
        <w:t xml:space="preserve"> ，弃方由</w:t>
      </w:r>
      <w:r>
        <w:rPr>
          <w:rFonts w:hint="default" w:ascii="Times New Roman" w:hAnsi="Times New Roman" w:cs="Times New Roman"/>
          <w:color w:val="auto"/>
          <w:highlight w:val="none"/>
          <w:lang w:val="en-US" w:eastAsia="zh-CN"/>
        </w:rPr>
        <w:t>衡阳市城市建设投资有限公司</w:t>
      </w:r>
      <w:r>
        <w:rPr>
          <w:rFonts w:hint="default" w:ascii="Times New Roman" w:hAnsi="Times New Roman" w:cs="Times New Roman"/>
          <w:color w:val="auto"/>
          <w:highlight w:val="none"/>
        </w:rPr>
        <w:t>统一调运</w:t>
      </w:r>
      <w:r>
        <w:rPr>
          <w:rFonts w:hint="default" w:ascii="Times New Roman" w:hAnsi="Times New Roman" w:cs="Times New Roman"/>
          <w:color w:val="auto"/>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9"/>
        <w:rPr>
          <w:rFonts w:hint="default" w:ascii="Times New Roman" w:hAnsi="Times New Roman" w:cs="Times New Roman"/>
          <w:color w:val="auto"/>
          <w:highlight w:val="none"/>
          <w:lang w:val="en-US" w:eastAsia="zh-CN"/>
        </w:rPr>
      </w:pPr>
    </w:p>
    <w:p>
      <w:pPr>
        <w:keepNext w:val="0"/>
        <w:keepLines w:val="0"/>
        <w:pageBreakBefore w:val="0"/>
        <w:widowControl w:val="0"/>
        <w:kinsoku/>
        <w:wordWrap/>
        <w:overflowPunct/>
        <w:topLinePunct w:val="0"/>
        <w:autoSpaceDE/>
        <w:autoSpaceDN/>
        <w:bidi w:val="0"/>
        <w:adjustRightInd/>
        <w:snapToGrid/>
        <w:spacing w:line="360" w:lineRule="auto"/>
        <w:jc w:val="center"/>
        <w:textAlignment w:val="auto"/>
        <w:outlineLvl w:val="1"/>
        <w:rPr>
          <w:rFonts w:hint="default" w:ascii="Times New Roman" w:hAnsi="Times New Roman" w:cs="Times New Roman"/>
          <w:color w:val="auto"/>
          <w:highlight w:val="none"/>
          <w:lang w:val="en-US" w:eastAsia="zh-CN"/>
        </w:rPr>
      </w:pPr>
      <w:bookmarkStart w:id="392" w:name="_Toc21832"/>
      <w:r>
        <w:rPr>
          <w:rFonts w:hint="default" w:ascii="Times New Roman" w:hAnsi="Times New Roman" w:cs="Times New Roman"/>
          <w:color w:val="auto"/>
          <w:highlight w:val="none"/>
          <w:lang w:val="en-US" w:eastAsia="zh-CN"/>
        </w:rPr>
        <w:t>土石方情况对比表</w:t>
      </w:r>
      <w:bookmarkEnd w:id="392"/>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325"/>
        <w:gridCol w:w="151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分区名称</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挖方（m³）</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填方（m³）</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借方（m³）</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弃方（m³）</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临时堆存（m³）</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土、石、清淤、表土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调入土、利用方</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淤泥、表土、石方</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50229.7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127417.4</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127417.4</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502229.7</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7366.4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小计</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50229.7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127417.4</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127417.4</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502229.7</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7366.4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160</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150</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弃渣场区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4009.1</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1443.8</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2565.3</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9401.7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3331.7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6070.0</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3000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合计</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63800.5</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132202.97</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127417.4</w:t>
            </w:r>
          </w:p>
        </w:tc>
        <w:tc>
          <w:tcPr>
            <w:tcW w:w="132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59015.0</w:t>
            </w:r>
          </w:p>
        </w:tc>
        <w:tc>
          <w:tcPr>
            <w:tcW w:w="1517"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cs="Times New Roman"/>
          <w:color w:val="auto"/>
          <w:highlight w:val="none"/>
          <w:lang w:val="en-US" w:eastAsia="zh-CN"/>
        </w:rPr>
      </w:pPr>
    </w:p>
    <w:p>
      <w:pPr>
        <w:pStyle w:val="3"/>
        <w:bidi w:val="0"/>
        <w:outlineLvl w:val="0"/>
        <w:rPr>
          <w:rFonts w:hint="default" w:ascii="Times New Roman" w:hAnsi="Times New Roman" w:cs="Times New Roman"/>
          <w:color w:val="auto"/>
          <w:highlight w:val="none"/>
          <w:lang w:val="en-US" w:eastAsia="zh-CN"/>
        </w:rPr>
      </w:pPr>
      <w:bookmarkStart w:id="393" w:name="_Toc1393"/>
      <w:r>
        <w:rPr>
          <w:rFonts w:hint="default" w:ascii="Times New Roman" w:hAnsi="Times New Roman" w:cs="Times New Roman"/>
          <w:color w:val="auto"/>
          <w:highlight w:val="none"/>
          <w:lang w:val="en-US" w:eastAsia="zh-CN"/>
        </w:rPr>
        <w:t>3.3取土场设置</w:t>
      </w:r>
      <w:bookmarkEnd w:id="393"/>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default" w:ascii="Times New Roman" w:hAnsi="Times New Roman" w:cs="Times New Roman"/>
          <w:color w:val="auto"/>
          <w:highlight w:val="none"/>
          <w:lang w:val="en-US" w:eastAsia="zh-CN"/>
        </w:rPr>
      </w:pPr>
      <w:bookmarkStart w:id="394" w:name="_Toc5805"/>
      <w:bookmarkStart w:id="395" w:name="_Toc15910"/>
      <w:bookmarkStart w:id="396" w:name="_Toc10824"/>
      <w:r>
        <w:rPr>
          <w:rFonts w:hint="default" w:ascii="Times New Roman" w:hAnsi="Times New Roman" w:cs="Times New Roman"/>
          <w:color w:val="auto"/>
          <w:highlight w:val="none"/>
          <w:lang w:val="en-US" w:eastAsia="zh-CN"/>
        </w:rPr>
        <w:t>1、方案设计取土场情况</w:t>
      </w:r>
      <w:bookmarkEnd w:id="394"/>
      <w:bookmarkEnd w:id="395"/>
      <w:bookmarkEnd w:id="39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根据衡阳市水利局批复的《</w:t>
      </w: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项目水土保持方案报告书》，本工程回填土方 4.47 万 m3 ，单独设置取土场。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outlineLvl w:val="1"/>
        <w:rPr>
          <w:rFonts w:hint="default" w:ascii="Times New Roman" w:hAnsi="Times New Roman" w:eastAsia="仿宋" w:cs="Times New Roman"/>
          <w:color w:val="auto"/>
          <w:highlight w:val="none"/>
          <w:lang w:val="en-US" w:eastAsia="zh-CN"/>
        </w:rPr>
      </w:pPr>
      <w:bookmarkStart w:id="397" w:name="_Toc18630"/>
      <w:bookmarkStart w:id="398" w:name="_Toc23896"/>
      <w:bookmarkStart w:id="399" w:name="_Toc28483"/>
      <w:r>
        <w:rPr>
          <w:rFonts w:hint="default" w:ascii="Times New Roman" w:hAnsi="Times New Roman" w:cs="Times New Roman"/>
          <w:color w:val="auto"/>
          <w:highlight w:val="none"/>
          <w:lang w:val="en-US" w:eastAsia="zh-CN"/>
        </w:rPr>
        <w:t>2、实际取土情况</w:t>
      </w:r>
      <w:bookmarkEnd w:id="397"/>
      <w:bookmarkEnd w:id="398"/>
      <w:bookmarkEnd w:id="399"/>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对本工程土石方监测结果和建设单位与签订的协议表明，工程回填土石方 </w:t>
      </w:r>
      <w:r>
        <w:rPr>
          <w:rFonts w:hint="default" w:ascii="Times New Roman" w:hAnsi="Times New Roman" w:cs="Times New Roman"/>
          <w:color w:val="auto"/>
          <w:highlight w:val="none"/>
          <w:lang w:val="en-US" w:eastAsia="zh-CN"/>
        </w:rPr>
        <w:t>12.74</w:t>
      </w:r>
      <w:r>
        <w:rPr>
          <w:rFonts w:hint="default" w:ascii="Times New Roman" w:hAnsi="Times New Roman" w:cs="Times New Roman"/>
          <w:color w:val="auto"/>
          <w:highlight w:val="none"/>
        </w:rPr>
        <w:t xml:space="preserve"> 万 m3 ，单独设置取土场。</w:t>
      </w:r>
    </w:p>
    <w:p>
      <w:pPr>
        <w:pStyle w:val="3"/>
        <w:bidi w:val="0"/>
        <w:outlineLvl w:val="0"/>
        <w:rPr>
          <w:rFonts w:hint="default" w:ascii="Times New Roman" w:hAnsi="Times New Roman" w:cs="Times New Roman"/>
          <w:color w:val="auto"/>
          <w:highlight w:val="none"/>
          <w:lang w:val="en-US" w:eastAsia="zh-CN"/>
        </w:rPr>
      </w:pPr>
      <w:bookmarkStart w:id="400" w:name="_Toc24639"/>
      <w:r>
        <w:rPr>
          <w:rFonts w:hint="default" w:ascii="Times New Roman" w:hAnsi="Times New Roman" w:cs="Times New Roman"/>
          <w:color w:val="auto"/>
          <w:highlight w:val="none"/>
          <w:lang w:val="en-US" w:eastAsia="zh-CN"/>
        </w:rPr>
        <w:t>3.4水土保持措施总体布局</w:t>
      </w:r>
      <w:bookmarkEnd w:id="400"/>
    </w:p>
    <w:p>
      <w:pPr>
        <w:keepNext w:val="0"/>
        <w:keepLines w:val="0"/>
        <w:pageBreakBefore w:val="0"/>
        <w:widowControl w:val="0"/>
        <w:kinsoku/>
        <w:wordWrap/>
        <w:overflowPunct/>
        <w:topLinePunct w:val="0"/>
        <w:autoSpaceDE/>
        <w:autoSpaceDN/>
        <w:bidi w:val="0"/>
        <w:adjustRightInd/>
        <w:snapToGrid/>
        <w:spacing w:before="206" w:line="360" w:lineRule="auto"/>
        <w:ind w:firstLine="480" w:firstLineChars="200"/>
        <w:textAlignment w:val="auto"/>
        <w:rPr>
          <w:rFonts w:hint="default" w:ascii="Times New Roman" w:hAnsi="Times New Roman" w:eastAsia="仿宋" w:cs="Times New Roman"/>
          <w:color w:val="auto"/>
          <w:spacing w:val="-16"/>
          <w:sz w:val="24"/>
          <w:szCs w:val="24"/>
          <w:highlight w:val="none"/>
        </w:rPr>
      </w:pPr>
      <w:r>
        <w:rPr>
          <w:rFonts w:hint="default" w:ascii="Times New Roman" w:hAnsi="Times New Roman" w:eastAsia="仿宋" w:cs="Times New Roman"/>
          <w:color w:val="auto"/>
          <w:sz w:val="24"/>
          <w:szCs w:val="24"/>
          <w:highlight w:val="none"/>
        </w:rPr>
        <w:t>主要是做好施工过程中的拦挡</w:t>
      </w:r>
      <w:r>
        <w:rPr>
          <w:rFonts w:hint="default" w:ascii="Times New Roman" w:hAnsi="Times New Roman" w:eastAsia="仿宋" w:cs="Times New Roman"/>
          <w:color w:val="auto"/>
          <w:spacing w:val="-17"/>
          <w:sz w:val="24"/>
          <w:szCs w:val="24"/>
          <w:highlight w:val="none"/>
        </w:rPr>
        <w:t>、</w:t>
      </w:r>
      <w:r>
        <w:rPr>
          <w:rFonts w:hint="default" w:ascii="Times New Roman" w:hAnsi="Times New Roman" w:eastAsia="仿宋" w:cs="Times New Roman"/>
          <w:color w:val="auto"/>
          <w:sz w:val="24"/>
          <w:szCs w:val="24"/>
          <w:highlight w:val="none"/>
        </w:rPr>
        <w:t>排水</w:t>
      </w:r>
      <w:r>
        <w:rPr>
          <w:rFonts w:hint="default" w:ascii="Times New Roman" w:hAnsi="Times New Roman" w:eastAsia="仿宋" w:cs="Times New Roman"/>
          <w:color w:val="auto"/>
          <w:spacing w:val="-17"/>
          <w:sz w:val="24"/>
          <w:szCs w:val="24"/>
          <w:highlight w:val="none"/>
        </w:rPr>
        <w:t>、</w:t>
      </w:r>
      <w:r>
        <w:rPr>
          <w:rFonts w:hint="default" w:ascii="Times New Roman" w:hAnsi="Times New Roman" w:eastAsia="仿宋" w:cs="Times New Roman"/>
          <w:color w:val="auto"/>
          <w:sz w:val="24"/>
          <w:szCs w:val="24"/>
          <w:highlight w:val="none"/>
        </w:rPr>
        <w:t>沉沙</w:t>
      </w:r>
      <w:r>
        <w:rPr>
          <w:rFonts w:hint="default" w:ascii="Times New Roman" w:hAnsi="Times New Roman" w:eastAsia="仿宋" w:cs="Times New Roman"/>
          <w:color w:val="auto"/>
          <w:spacing w:val="-17"/>
          <w:sz w:val="24"/>
          <w:szCs w:val="24"/>
          <w:highlight w:val="none"/>
        </w:rPr>
        <w:t>、</w:t>
      </w:r>
      <w:r>
        <w:rPr>
          <w:rFonts w:hint="default" w:ascii="Times New Roman" w:hAnsi="Times New Roman" w:eastAsia="仿宋" w:cs="Times New Roman"/>
          <w:color w:val="auto"/>
          <w:sz w:val="24"/>
          <w:szCs w:val="24"/>
          <w:highlight w:val="none"/>
        </w:rPr>
        <w:t>覆盖及表土保护等防护措施</w:t>
      </w:r>
      <w:r>
        <w:rPr>
          <w:rFonts w:hint="default" w:ascii="Times New Roman" w:hAnsi="Times New Roman" w:eastAsia="仿宋" w:cs="Times New Roman"/>
          <w:color w:val="auto"/>
          <w:spacing w:val="-16"/>
          <w:sz w:val="24"/>
          <w:szCs w:val="24"/>
          <w:highlight w:val="none"/>
        </w:rPr>
        <w:t>。</w:t>
      </w:r>
    </w:p>
    <w:p>
      <w:pPr>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spacing w:val="-27"/>
          <w:sz w:val="24"/>
          <w:szCs w:val="24"/>
          <w:highlight w:val="none"/>
          <w:lang w:val="en-US" w:eastAsia="zh-CN"/>
        </w:rPr>
      </w:pPr>
      <w:r>
        <w:rPr>
          <w:rFonts w:hint="default" w:ascii="Times New Roman" w:hAnsi="Times New Roman" w:cs="Times New Roman"/>
          <w:color w:val="auto"/>
          <w:highlight w:val="none"/>
          <w:lang w:val="en-US" w:eastAsia="zh-CN"/>
        </w:rPr>
        <w:t>主体工程区：</w:t>
      </w:r>
      <w:r>
        <w:rPr>
          <w:rFonts w:hint="default" w:ascii="Times New Roman" w:hAnsi="Times New Roman" w:cs="Times New Roman"/>
          <w:color w:val="auto"/>
          <w:highlight w:val="none"/>
        </w:rPr>
        <w:t>主要是做好施工过程中的拦挡、排水、沉沙、覆盖等防护措施。 施工准备期对场平范围内可用表土进行剥离， 并将表土集中堆放至临时堆土区统一进行 防护， 后期用于本项目绿化区域表土回填； 沿挖填零线布设临时排水沉沙措施， 对场平 产生的边坡做好临时覆盖措施； 项目区出口设洗车平台。基建期区内按永临结合布设排 水措施， 对基础及管线开挖， 主要是针对其分区分段施工、工期较短的特点， 加强雨季 回填土方的临时覆盖， 对基础及管沟周边采取临时拦挡措施。植被恢复期回填表土， 对 场区园林绿化区域进行绿化，对边坡进行绿化防护措施。</w:t>
      </w:r>
    </w:p>
    <w:p>
      <w:pPr>
        <w:keepNext w:val="0"/>
        <w:keepLines w:val="0"/>
        <w:pageBreakBefore w:val="0"/>
        <w:widowControl w:val="0"/>
        <w:numPr>
          <w:ilvl w:val="0"/>
          <w:numId w:val="23"/>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spacing w:val="-27"/>
          <w:sz w:val="24"/>
          <w:szCs w:val="24"/>
          <w:highlight w:val="none"/>
          <w:lang w:val="en-US" w:eastAsia="zh-CN"/>
        </w:rPr>
      </w:pPr>
      <w:r>
        <w:rPr>
          <w:rFonts w:hint="default" w:ascii="Times New Roman" w:hAnsi="Times New Roman" w:cs="Times New Roman"/>
          <w:color w:val="auto"/>
          <w:highlight w:val="none"/>
          <w:lang w:val="en-US" w:eastAsia="zh-CN"/>
        </w:rPr>
        <w:t>附属建设区：</w:t>
      </w:r>
      <w:r>
        <w:rPr>
          <w:rFonts w:hint="default" w:ascii="Times New Roman" w:hAnsi="Times New Roman" w:eastAsia="仿宋" w:cs="Times New Roman"/>
          <w:color w:val="auto"/>
          <w:spacing w:val="2"/>
          <w:sz w:val="24"/>
          <w:szCs w:val="24"/>
          <w:highlight w:val="none"/>
        </w:rPr>
        <w:t>施工准备</w:t>
      </w:r>
      <w:r>
        <w:rPr>
          <w:rFonts w:hint="default" w:ascii="Times New Roman" w:hAnsi="Times New Roman" w:eastAsia="仿宋" w:cs="Times New Roman"/>
          <w:color w:val="auto"/>
          <w:spacing w:val="1"/>
          <w:sz w:val="24"/>
          <w:szCs w:val="24"/>
          <w:highlight w:val="none"/>
        </w:rPr>
        <w:t>期主要是做好施工过程中的临时排水</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pacing w:val="1"/>
          <w:sz w:val="24"/>
          <w:szCs w:val="24"/>
          <w:highlight w:val="none"/>
        </w:rPr>
        <w:t>沉沙</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pacing w:val="1"/>
          <w:sz w:val="24"/>
          <w:szCs w:val="24"/>
          <w:highlight w:val="none"/>
        </w:rPr>
        <w:t>压盖等防</w:t>
      </w:r>
      <w:r>
        <w:rPr>
          <w:rFonts w:hint="default" w:ascii="Times New Roman" w:hAnsi="Times New Roman" w:eastAsia="仿宋" w:cs="Times New Roman"/>
          <w:color w:val="auto"/>
          <w:sz w:val="24"/>
          <w:szCs w:val="24"/>
          <w:highlight w:val="none"/>
        </w:rPr>
        <w:t xml:space="preserve"> 护措施</w:t>
      </w:r>
      <w:r>
        <w:rPr>
          <w:rFonts w:hint="default" w:ascii="Times New Roman" w:hAnsi="Times New Roman" w:eastAsia="仿宋" w:cs="Times New Roman"/>
          <w:color w:val="auto"/>
          <w:spacing w:val="-33"/>
          <w:sz w:val="24"/>
          <w:szCs w:val="24"/>
          <w:highlight w:val="none"/>
        </w:rPr>
        <w:t>，</w:t>
      </w:r>
      <w:r>
        <w:rPr>
          <w:rFonts w:hint="default" w:ascii="Times New Roman" w:hAnsi="Times New Roman" w:eastAsia="仿宋" w:cs="Times New Roman"/>
          <w:color w:val="auto"/>
          <w:sz w:val="24"/>
          <w:szCs w:val="24"/>
          <w:highlight w:val="none"/>
        </w:rPr>
        <w:t>施工结束后主体设计进行硬化</w:t>
      </w:r>
      <w:r>
        <w:rPr>
          <w:rFonts w:hint="default" w:ascii="Times New Roman" w:hAnsi="Times New Roman" w:eastAsia="仿宋" w:cs="Times New Roman"/>
          <w:color w:val="auto"/>
          <w:spacing w:val="-32"/>
          <w:sz w:val="24"/>
          <w:szCs w:val="24"/>
          <w:highlight w:val="none"/>
        </w:rPr>
        <w:t>。</w:t>
      </w:r>
    </w:p>
    <w:p>
      <w:pPr>
        <w:keepNext w:val="0"/>
        <w:keepLines w:val="0"/>
        <w:pageBreakBefore w:val="0"/>
        <w:widowControl w:val="0"/>
        <w:numPr>
          <w:ilvl w:val="0"/>
          <w:numId w:val="23"/>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弃渣回填区：</w:t>
      </w:r>
      <w:r>
        <w:rPr>
          <w:rFonts w:hint="default" w:ascii="Times New Roman" w:hAnsi="Times New Roman" w:cs="Times New Roman"/>
          <w:color w:val="auto"/>
          <w:highlight w:val="none"/>
        </w:rPr>
        <w:t>施工准备期主要是做好施工过程中的临时拦挡、排水、沉沙、覆盖等防护措施，施工结束后主体设计进行硬化。</w:t>
      </w:r>
    </w:p>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cs="Times New Roman"/>
          <w:color w:val="auto"/>
          <w:highlight w:val="none"/>
          <w:lang w:val="en-US" w:eastAsia="zh-CN"/>
        </w:rPr>
        <w:t>4、取土场区：</w:t>
      </w:r>
      <w:r>
        <w:rPr>
          <w:rFonts w:hint="default" w:ascii="Times New Roman" w:hAnsi="Times New Roman" w:eastAsia="仿宋" w:cs="Times New Roman"/>
          <w:color w:val="auto"/>
          <w:spacing w:val="1"/>
          <w:sz w:val="24"/>
          <w:szCs w:val="24"/>
          <w:highlight w:val="none"/>
        </w:rPr>
        <w:t>施工准备期主要是做好施工过程中的临时拦挡</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pacing w:val="1"/>
          <w:sz w:val="24"/>
          <w:szCs w:val="24"/>
          <w:highlight w:val="none"/>
        </w:rPr>
        <w:t>排水</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pacing w:val="1"/>
          <w:sz w:val="24"/>
          <w:szCs w:val="24"/>
          <w:highlight w:val="none"/>
        </w:rPr>
        <w:t>沉沙、覆</w:t>
      </w:r>
      <w:r>
        <w:rPr>
          <w:rFonts w:hint="default" w:ascii="Times New Roman" w:hAnsi="Times New Roman" w:eastAsia="仿宋" w:cs="Times New Roman"/>
          <w:color w:val="auto"/>
          <w:sz w:val="24"/>
          <w:szCs w:val="24"/>
          <w:highlight w:val="none"/>
        </w:rPr>
        <w:t xml:space="preserve"> 盖等防护措施</w:t>
      </w:r>
      <w:r>
        <w:rPr>
          <w:rFonts w:hint="default" w:ascii="Times New Roman" w:hAnsi="Times New Roman" w:eastAsia="仿宋" w:cs="Times New Roman"/>
          <w:color w:val="auto"/>
          <w:spacing w:val="-31"/>
          <w:sz w:val="24"/>
          <w:szCs w:val="24"/>
          <w:highlight w:val="none"/>
        </w:rPr>
        <w:t>，</w:t>
      </w:r>
      <w:r>
        <w:rPr>
          <w:rFonts w:hint="default" w:ascii="Times New Roman" w:hAnsi="Times New Roman" w:eastAsia="仿宋" w:cs="Times New Roman"/>
          <w:color w:val="auto"/>
          <w:sz w:val="24"/>
          <w:szCs w:val="24"/>
          <w:highlight w:val="none"/>
        </w:rPr>
        <w:t>施工结束后主体设计进行硬化</w:t>
      </w:r>
      <w:r>
        <w:rPr>
          <w:rFonts w:hint="default" w:ascii="Times New Roman" w:hAnsi="Times New Roman" w:eastAsia="仿宋" w:cs="Times New Roman"/>
          <w:color w:val="auto"/>
          <w:spacing w:val="-30"/>
          <w:sz w:val="24"/>
          <w:szCs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spacing w:val="-26"/>
          <w:sz w:val="24"/>
          <w:szCs w:val="24"/>
          <w:highlight w:val="none"/>
        </w:rPr>
      </w:pPr>
      <w:r>
        <w:rPr>
          <w:rFonts w:hint="default" w:ascii="Times New Roman" w:hAnsi="Times New Roman" w:cs="Times New Roman"/>
          <w:color w:val="auto"/>
          <w:highlight w:val="none"/>
          <w:lang w:val="en-US" w:eastAsia="zh-CN"/>
        </w:rPr>
        <w:t>5、施工便道区：</w:t>
      </w:r>
      <w:r>
        <w:rPr>
          <w:rFonts w:hint="default" w:ascii="Times New Roman" w:hAnsi="Times New Roman" w:eastAsia="仿宋" w:cs="Times New Roman"/>
          <w:color w:val="auto"/>
          <w:spacing w:val="2"/>
          <w:sz w:val="24"/>
          <w:szCs w:val="24"/>
          <w:highlight w:val="none"/>
        </w:rPr>
        <w:t>施工准备期</w:t>
      </w:r>
      <w:r>
        <w:rPr>
          <w:rFonts w:hint="default" w:ascii="Times New Roman" w:hAnsi="Times New Roman" w:eastAsia="仿宋" w:cs="Times New Roman"/>
          <w:color w:val="auto"/>
          <w:spacing w:val="1"/>
          <w:sz w:val="24"/>
          <w:szCs w:val="24"/>
          <w:highlight w:val="none"/>
        </w:rPr>
        <w:t>主要是做好表土剥离措施</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pacing w:val="1"/>
          <w:sz w:val="24"/>
          <w:szCs w:val="24"/>
          <w:highlight w:val="none"/>
        </w:rPr>
        <w:t>临时排水及沉沙措施</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pacing w:val="1"/>
          <w:sz w:val="24"/>
          <w:szCs w:val="24"/>
          <w:highlight w:val="none"/>
        </w:rPr>
        <w:t>植</w:t>
      </w:r>
      <w:r>
        <w:rPr>
          <w:rFonts w:hint="default" w:ascii="Times New Roman" w:hAnsi="Times New Roman" w:eastAsia="仿宋" w:cs="Times New Roman"/>
          <w:color w:val="auto"/>
          <w:sz w:val="24"/>
          <w:szCs w:val="24"/>
          <w:highlight w:val="none"/>
        </w:rPr>
        <w:t xml:space="preserve"> 被恢复期对绿化区域土地平整</w:t>
      </w:r>
      <w:r>
        <w:rPr>
          <w:rFonts w:hint="default" w:ascii="Times New Roman" w:hAnsi="Times New Roman" w:eastAsia="仿宋" w:cs="Times New Roman"/>
          <w:color w:val="auto"/>
          <w:spacing w:val="-26"/>
          <w:sz w:val="24"/>
          <w:szCs w:val="24"/>
          <w:highlight w:val="none"/>
        </w:rPr>
        <w:t>、</w:t>
      </w:r>
      <w:r>
        <w:rPr>
          <w:rFonts w:hint="default" w:ascii="Times New Roman" w:hAnsi="Times New Roman" w:eastAsia="仿宋" w:cs="Times New Roman"/>
          <w:color w:val="auto"/>
          <w:sz w:val="24"/>
          <w:szCs w:val="24"/>
          <w:highlight w:val="none"/>
        </w:rPr>
        <w:t>表土回填及土路肩绿化措施</w:t>
      </w:r>
      <w:r>
        <w:rPr>
          <w:rFonts w:hint="default" w:ascii="Times New Roman" w:hAnsi="Times New Roman" w:eastAsia="仿宋" w:cs="Times New Roman"/>
          <w:color w:val="auto"/>
          <w:spacing w:val="-26"/>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6、施工生产生活区：</w:t>
      </w:r>
      <w:r>
        <w:rPr>
          <w:rFonts w:hint="default" w:ascii="Times New Roman" w:hAnsi="Times New Roman" w:cs="Times New Roman"/>
          <w:color w:val="auto"/>
          <w:highlight w:val="none"/>
        </w:rPr>
        <w:t>施工准备期主要是做好表土剥离措施，临时排水及沉沙措施，植 被恢复期对绿化区域土地平整、表土回填及土路肩绿化措施。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7、临时堆土区：</w:t>
      </w:r>
      <w:r>
        <w:rPr>
          <w:rFonts w:hint="default" w:ascii="Times New Roman" w:hAnsi="Times New Roman" w:cs="Times New Roman"/>
          <w:color w:val="auto"/>
          <w:highlight w:val="none"/>
        </w:rPr>
        <w:t>施工准备期主要是做好表土剥离措施，临时排水及沉沙措施，植 被恢复期对绿化区域土地平整、表土回填及土路肩绿化措施。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eastAsia="仿宋" w:cs="Times New Roman"/>
          <w:color w:val="auto"/>
          <w:highlight w:val="none"/>
          <w:lang w:val="en-US" w:eastAsia="zh-CN"/>
        </w:rPr>
      </w:pPr>
      <w:r>
        <w:rPr>
          <w:rFonts w:hint="default" w:ascii="Times New Roman" w:hAnsi="Times New Roman" w:cs="Times New Roman"/>
          <w:color w:val="auto"/>
          <w:highlight w:val="none"/>
          <w:lang w:val="en-US" w:eastAsia="zh-CN"/>
        </w:rPr>
        <w:t>实际水土保持措施体系与批复情况对比表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420"/>
        <w:gridCol w:w="1420"/>
        <w:gridCol w:w="1420"/>
        <w:gridCol w:w="1420"/>
        <w:gridCol w:w="1421"/>
        <w:gridCol w:w="142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措施类型</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方案水土保持措施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已实施水土保持措施</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变化情况</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评价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措施体系比较完善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植物措施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铺草皮，植树</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铺草皮，植树</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临时挡土坎、挡土板、临时排水沟、挖沉砂池、防尘网</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临时挡土坎、挡土板、临时排水沟、挖沉砂池、防尘网</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附属设施区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42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措施体系比较完善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植物措施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临时挡土坎、临时排水沟、挖沉砂池、防尘网</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临时挡土坎、临时排水沟、挖沉砂池、防尘网</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弃渣回填区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挡渣墙、截水沟、排水沟、永久浆砌石沉砂池、表土剥离、土地平整</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挡渣墙、截水沟、排水沟、永久浆砌石沉砂池、表土剥离、土地平整</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措施体系比较完善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植物措施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铺草皮、撒播草籽、栽植香樟、杜英、红继木</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铺草皮、撒播草籽、栽植香樟、杜英、红继木</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临时挡土坎、临时排水沟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临时挡土坎、临时排水沟</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截排水沟、永久沉砂池、表土剥离、土地平整</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截排水沟、永久沉砂池、表土剥离、土地平整</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措施体系比较完善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植物措施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铺草皮、撒播草籽、栽植香樟、杜英、红继木</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铺草皮、撒播草籽、栽植香樟、杜英、红继木</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临时挡土坎、临时排水沟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临时挡土坎、临时排水沟</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8" w:hRule="atLeast"/>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表土剥离、表土平整</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表土剥离、表土平整</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措施体系比较完善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植物措施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铺草皮、撒播草籽、栽植香樟、杜英、红继木</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铺草皮、撒播草籽、栽植香樟、杜英、红继木</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临时挡土坎、临时排水土沟</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临时挡土坎、临时排水土沟</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施工生产生活区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表土剥离、土地平整</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表土剥离、土地平整</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措施体系比较完善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植物措施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撒播草籽、栽植杜英、栽植红继木</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撒播草籽、栽植杜英、栽植红继木</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临时挡土坎、临时排水土沟、沉砂池、铺撒碎石子、防尘网覆盖</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临时挡土坎、临时排水土沟、沉砂池、铺撒碎石子、防尘网覆盖</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临时堆土区</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表土剥离、土地平整</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表土剥离、土地平整</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措施体系比较完善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植物措施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撒播草籽、栽植杜英、栽植红继木</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撒播草籽、栽植杜英、栽植红继木</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420"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临时措施</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临时挡土坎、临时排水土沟、沉砂池、铺撒碎石子、防尘网覆盖</w:t>
            </w:r>
          </w:p>
        </w:tc>
        <w:tc>
          <w:tcPr>
            <w:tcW w:w="1420"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临时挡土坎、临时排水土沟、沉砂池、铺撒碎石子、防尘网覆盖</w:t>
            </w:r>
          </w:p>
        </w:tc>
        <w:tc>
          <w:tcPr>
            <w:tcW w:w="142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基本无情况</w:t>
            </w:r>
          </w:p>
        </w:tc>
        <w:tc>
          <w:tcPr>
            <w:tcW w:w="142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bl>
    <w:p>
      <w:pPr>
        <w:pStyle w:val="3"/>
        <w:bidi w:val="0"/>
        <w:outlineLvl w:val="0"/>
        <w:rPr>
          <w:rFonts w:hint="default" w:ascii="Times New Roman" w:hAnsi="Times New Roman" w:cs="Times New Roman"/>
          <w:color w:val="auto"/>
          <w:highlight w:val="none"/>
          <w:lang w:val="en-US" w:eastAsia="zh-CN"/>
        </w:rPr>
      </w:pPr>
      <w:bookmarkStart w:id="401" w:name="_Toc13043"/>
      <w:r>
        <w:rPr>
          <w:rFonts w:hint="default" w:ascii="Times New Roman" w:hAnsi="Times New Roman" w:cs="Times New Roman"/>
          <w:color w:val="auto"/>
          <w:highlight w:val="none"/>
          <w:lang w:val="en-US" w:eastAsia="zh-CN"/>
        </w:rPr>
        <w:t>3.5水土保持设施完成情况</w:t>
      </w:r>
      <w:bookmarkEnd w:id="401"/>
    </w:p>
    <w:p>
      <w:pPr>
        <w:pStyle w:val="4"/>
        <w:bidi w:val="0"/>
        <w:outlineLvl w:val="1"/>
        <w:rPr>
          <w:rFonts w:hint="default" w:ascii="Times New Roman" w:hAnsi="Times New Roman" w:cs="Times New Roman"/>
          <w:color w:val="auto"/>
          <w:highlight w:val="none"/>
          <w:lang w:val="en-US" w:eastAsia="zh-CN"/>
        </w:rPr>
      </w:pPr>
      <w:bookmarkStart w:id="402" w:name="_Toc4161"/>
      <w:bookmarkStart w:id="403" w:name="_Toc30920"/>
      <w:bookmarkStart w:id="404" w:name="_Toc18477"/>
      <w:r>
        <w:rPr>
          <w:rFonts w:hint="default" w:ascii="Times New Roman" w:hAnsi="Times New Roman" w:cs="Times New Roman"/>
          <w:color w:val="auto"/>
          <w:highlight w:val="none"/>
          <w:lang w:val="en-US" w:eastAsia="zh-CN"/>
        </w:rPr>
        <w:t>3.5.1工程措施完成情况</w:t>
      </w:r>
      <w:bookmarkEnd w:id="402"/>
      <w:bookmarkEnd w:id="403"/>
      <w:bookmarkEnd w:id="40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xml:space="preserve">自验小组通过对竣工资料查阅、现场查勘以及复核， 本项目一级分区为主体工程区， </w:t>
      </w:r>
      <w:r>
        <w:rPr>
          <w:rFonts w:hint="default" w:ascii="Times New Roman" w:hAnsi="Times New Roman" w:cs="Times New Roman"/>
          <w:color w:val="auto"/>
          <w:highlight w:val="none"/>
          <w:lang w:val="en-US" w:eastAsia="zh-CN"/>
        </w:rPr>
        <w:t>附属设施区、弃渣回填区、取土场区、施工便道区、施工生产生活区、临时堆土区</w:t>
      </w:r>
      <w:r>
        <w:rPr>
          <w:rFonts w:hint="default" w:ascii="Times New Roman" w:hAnsi="Times New Roman" w:cs="Times New Roman"/>
          <w:color w:val="auto"/>
          <w:highlight w:val="none"/>
        </w:rPr>
        <w:t xml:space="preserve"> </w:t>
      </w:r>
      <w:r>
        <w:rPr>
          <w:rFonts w:hint="default" w:ascii="Times New Roman" w:hAnsi="Times New Roman" w:cs="Times New Roman"/>
          <w:color w:val="auto"/>
          <w:highlight w:val="none"/>
          <w:lang w:val="en-US" w:eastAsia="zh-CN"/>
        </w:rPr>
        <w:t>7</w:t>
      </w:r>
      <w:r>
        <w:rPr>
          <w:rFonts w:hint="default" w:ascii="Times New Roman" w:hAnsi="Times New Roman" w:cs="Times New Roman"/>
          <w:color w:val="auto"/>
          <w:highlight w:val="none"/>
        </w:rPr>
        <w:t>个分区，布设了排水沟等水土保持工程措施；场区进行了土地平整。</w:t>
      </w:r>
    </w:p>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3.5.1.1主体工程区的工程措施</w:t>
      </w:r>
    </w:p>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主体工程区完成的措施为：表土剥离14733m³</w:t>
      </w:r>
    </w:p>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主体工程区水土保持工程措施完成情况表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704"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1704"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705"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14733</w:t>
            </w:r>
          </w:p>
        </w:tc>
        <w:tc>
          <w:tcPr>
            <w:tcW w:w="1705"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keepNext w:val="0"/>
        <w:keepLines w:val="0"/>
        <w:pageBreakBefore w:val="0"/>
        <w:widowControl w:val="0"/>
        <w:kinsoku/>
        <w:wordWrap/>
        <w:overflowPunct/>
        <w:topLinePunct w:val="0"/>
        <w:autoSpaceDE/>
        <w:autoSpaceDN/>
        <w:bidi w:val="0"/>
        <w:adjustRightInd/>
        <w:snapToGrid/>
        <w:spacing w:line="360" w:lineRule="auto"/>
        <w:ind w:right="0"/>
        <w:jc w:val="center"/>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主体工程区水土保持工程措施对比情况表</w:t>
      </w:r>
    </w:p>
    <w:tbl>
      <w:tblPr>
        <w:tblStyle w:val="20"/>
        <w:tblW w:w="8547"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0"/>
        <w:gridCol w:w="1063"/>
        <w:gridCol w:w="1144"/>
        <w:gridCol w:w="1420"/>
        <w:gridCol w:w="1420"/>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0" w:type="dxa"/>
            <w:vAlign w:val="center"/>
          </w:tcPr>
          <w:p>
            <w:pPr>
              <w:jc w:val="center"/>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防治分区</w:t>
            </w:r>
          </w:p>
        </w:tc>
        <w:tc>
          <w:tcPr>
            <w:tcW w:w="1063" w:type="dxa"/>
            <w:vAlign w:val="center"/>
          </w:tcPr>
          <w:p>
            <w:pPr>
              <w:jc w:val="center"/>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措施名称</w:t>
            </w:r>
          </w:p>
        </w:tc>
        <w:tc>
          <w:tcPr>
            <w:tcW w:w="1144" w:type="dxa"/>
            <w:vAlign w:val="center"/>
          </w:tcPr>
          <w:p>
            <w:pPr>
              <w:jc w:val="center"/>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单位</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方案设计</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实际完成</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2080" w:type="dxa"/>
            <w:vAlign w:val="center"/>
          </w:tcPr>
          <w:p>
            <w:pPr>
              <w:jc w:val="center"/>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主体工程区</w:t>
            </w:r>
          </w:p>
        </w:tc>
        <w:tc>
          <w:tcPr>
            <w:tcW w:w="1063" w:type="dxa"/>
            <w:vAlign w:val="center"/>
          </w:tcPr>
          <w:p>
            <w:pPr>
              <w:jc w:val="center"/>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表土剥离</w:t>
            </w:r>
          </w:p>
        </w:tc>
        <w:tc>
          <w:tcPr>
            <w:tcW w:w="1144" w:type="dxa"/>
            <w:vAlign w:val="center"/>
          </w:tcPr>
          <w:p>
            <w:pPr>
              <w:jc w:val="center"/>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14733</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14733</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措施变化原因:</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3.5.1.2 实际完成水土保持措施情况汇总表</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1、实际完成水土保持工程量汇总</w:t>
      </w:r>
    </w:p>
    <w:p>
      <w:pPr>
        <w:keepNext w:val="0"/>
        <w:keepLines w:val="0"/>
        <w:pageBreakBefore w:val="0"/>
        <w:widowControl w:val="0"/>
        <w:kinsoku/>
        <w:wordWrap/>
        <w:overflowPunct/>
        <w:topLinePunct w:val="0"/>
        <w:autoSpaceDE/>
        <w:autoSpaceDN/>
        <w:bidi w:val="0"/>
        <w:adjustRightInd/>
        <w:snapToGrid/>
        <w:spacing w:line="360" w:lineRule="auto"/>
        <w:ind w:left="0" w:right="0" w:firstLine="1134"/>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经验收组查阅相关资料</w:t>
      </w:r>
      <w:r>
        <w:rPr>
          <w:rFonts w:hint="default" w:ascii="Times New Roman" w:hAnsi="Times New Roman" w:eastAsia="仿宋" w:cs="Times New Roman"/>
          <w:color w:val="auto"/>
          <w:spacing w:val="-66"/>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本项目水土保持工程措施主要完成排水管网</w:t>
      </w:r>
      <w:r>
        <w:rPr>
          <w:rFonts w:hint="default" w:ascii="Times New Roman" w:hAnsi="Times New Roman" w:eastAsia="仿宋" w:cs="Times New Roman"/>
          <w:color w:val="auto"/>
          <w:spacing w:val="-1"/>
          <w:sz w:val="24"/>
          <w:szCs w:val="24"/>
          <w:highlight w:val="none"/>
        </w:rPr>
        <w:t xml:space="preserve"> </w:t>
      </w:r>
      <w:r>
        <w:rPr>
          <w:rFonts w:hint="default" w:ascii="Times New Roman" w:hAnsi="Times New Roman" w:eastAsia="Times New Roman" w:cs="Times New Roman"/>
          <w:color w:val="auto"/>
          <w:sz w:val="24"/>
          <w:szCs w:val="24"/>
          <w:highlight w:val="none"/>
        </w:rPr>
        <w:t>1296m</w:t>
      </w:r>
      <w:r>
        <w:rPr>
          <w:rFonts w:hint="default" w:ascii="Times New Roman" w:hAnsi="Times New Roman" w:eastAsia="仿宋" w:cs="Times New Roman"/>
          <w:color w:val="auto"/>
          <w:spacing w:val="-66"/>
          <w:sz w:val="24"/>
          <w:szCs w:val="24"/>
          <w:highlight w:val="none"/>
        </w:rPr>
        <w:t>、</w:t>
      </w:r>
      <w:r>
        <w:rPr>
          <w:rFonts w:hint="default" w:ascii="Times New Roman" w:hAnsi="Times New Roman" w:eastAsia="仿宋" w:cs="Times New Roman"/>
          <w:color w:val="auto"/>
          <w:sz w:val="24"/>
          <w:szCs w:val="24"/>
          <w:highlight w:val="none"/>
        </w:rPr>
        <w:t>砖砌 排水明沟</w:t>
      </w:r>
      <w:r>
        <w:rPr>
          <w:rFonts w:hint="default" w:ascii="Times New Roman" w:hAnsi="Times New Roman" w:eastAsia="仿宋" w:cs="Times New Roman"/>
          <w:color w:val="auto"/>
          <w:spacing w:val="-1"/>
          <w:sz w:val="24"/>
          <w:szCs w:val="24"/>
          <w:highlight w:val="none"/>
        </w:rPr>
        <w:t xml:space="preserve"> </w:t>
      </w:r>
      <w:r>
        <w:rPr>
          <w:rFonts w:hint="default" w:ascii="Times New Roman" w:hAnsi="Times New Roman" w:eastAsia="Times New Roman" w:cs="Times New Roman"/>
          <w:color w:val="auto"/>
          <w:sz w:val="24"/>
          <w:szCs w:val="24"/>
          <w:highlight w:val="none"/>
        </w:rPr>
        <w:t>933m</w:t>
      </w:r>
      <w:r>
        <w:rPr>
          <w:rFonts w:hint="default" w:ascii="Times New Roman" w:hAnsi="Times New Roman" w:eastAsia="仿宋" w:cs="Times New Roman"/>
          <w:color w:val="auto"/>
          <w:spacing w:val="-62"/>
          <w:sz w:val="24"/>
          <w:szCs w:val="24"/>
          <w:highlight w:val="none"/>
        </w:rPr>
        <w:t>、</w:t>
      </w:r>
      <w:r>
        <w:rPr>
          <w:rFonts w:hint="default" w:ascii="Times New Roman" w:hAnsi="Times New Roman" w:eastAsia="仿宋" w:cs="Times New Roman"/>
          <w:color w:val="auto"/>
          <w:sz w:val="24"/>
          <w:szCs w:val="24"/>
          <w:highlight w:val="none"/>
        </w:rPr>
        <w:t>混凝土排水明沟</w:t>
      </w:r>
      <w:r>
        <w:rPr>
          <w:rFonts w:hint="default" w:ascii="Times New Roman" w:hAnsi="Times New Roman" w:eastAsia="仿宋" w:cs="Times New Roman"/>
          <w:color w:val="auto"/>
          <w:spacing w:val="-1"/>
          <w:sz w:val="24"/>
          <w:szCs w:val="24"/>
          <w:highlight w:val="none"/>
        </w:rPr>
        <w:t xml:space="preserve"> </w:t>
      </w:r>
      <w:r>
        <w:rPr>
          <w:rFonts w:hint="default" w:ascii="Times New Roman" w:hAnsi="Times New Roman" w:eastAsia="Times New Roman" w:cs="Times New Roman"/>
          <w:color w:val="auto"/>
          <w:sz w:val="24"/>
          <w:szCs w:val="24"/>
          <w:highlight w:val="none"/>
        </w:rPr>
        <w:t>63m</w:t>
      </w:r>
      <w:r>
        <w:rPr>
          <w:rFonts w:hint="default" w:ascii="Times New Roman" w:hAnsi="Times New Roman" w:eastAsia="仿宋" w:cs="Times New Roman"/>
          <w:color w:val="auto"/>
          <w:spacing w:val="-62"/>
          <w:sz w:val="24"/>
          <w:szCs w:val="24"/>
          <w:highlight w:val="none"/>
        </w:rPr>
        <w:t>、</w:t>
      </w:r>
      <w:r>
        <w:rPr>
          <w:rFonts w:hint="default" w:ascii="Times New Roman" w:hAnsi="Times New Roman" w:eastAsia="仿宋" w:cs="Times New Roman"/>
          <w:color w:val="auto"/>
          <w:sz w:val="24"/>
          <w:szCs w:val="24"/>
          <w:highlight w:val="none"/>
        </w:rPr>
        <w:t xml:space="preserve">土地平整 </w:t>
      </w:r>
      <w:r>
        <w:rPr>
          <w:rFonts w:hint="default" w:ascii="Times New Roman" w:hAnsi="Times New Roman" w:eastAsia="Times New Roman" w:cs="Times New Roman"/>
          <w:color w:val="auto"/>
          <w:sz w:val="24"/>
          <w:szCs w:val="24"/>
          <w:highlight w:val="none"/>
        </w:rPr>
        <w:t>1.67hm</w:t>
      </w:r>
      <w:r>
        <w:rPr>
          <w:rFonts w:hint="default" w:ascii="Times New Roman" w:hAnsi="Times New Roman" w:eastAsia="Times New Roman" w:cs="Times New Roman"/>
          <w:color w:val="auto"/>
          <w:position w:val="10"/>
          <w:sz w:val="15"/>
          <w:szCs w:val="15"/>
          <w:highlight w:val="none"/>
        </w:rPr>
        <w:t>2</w:t>
      </w:r>
      <w:r>
        <w:rPr>
          <w:rFonts w:hint="default" w:ascii="Times New Roman" w:hAnsi="Times New Roman" w:eastAsia="仿宋" w:cs="Times New Roman"/>
          <w:color w:val="auto"/>
          <w:spacing w:val="-62"/>
          <w:sz w:val="24"/>
          <w:szCs w:val="24"/>
          <w:highlight w:val="none"/>
        </w:rPr>
        <w:t>。</w:t>
      </w:r>
    </w:p>
    <w:p>
      <w:pPr>
        <w:spacing w:line="223" w:lineRule="auto"/>
        <w:ind w:firstLine="2021"/>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14:textOutline w14:w="2793" w14:cap="flat" w14:cmpd="sng">
            <w14:solidFill>
              <w14:srgbClr w14:val="000000"/>
            </w14:solidFill>
            <w14:prstDash w14:val="solid"/>
            <w14:miter w14:val="0"/>
          </w14:textOutline>
        </w:rPr>
        <w:t>表</w:t>
      </w:r>
      <w:r>
        <w:rPr>
          <w:rFonts w:hint="default" w:ascii="Times New Roman" w:hAnsi="Times New Roman" w:eastAsia="仿宋" w:cs="Times New Roman"/>
          <w:color w:val="auto"/>
          <w:spacing w:val="1"/>
          <w:sz w:val="21"/>
          <w:szCs w:val="21"/>
          <w:highlight w:val="none"/>
        </w:rPr>
        <w:t xml:space="preserve"> </w:t>
      </w:r>
      <w:r>
        <w:rPr>
          <w:rFonts w:hint="default" w:ascii="Times New Roman" w:hAnsi="Times New Roman" w:eastAsia="仿宋" w:cs="Times New Roman"/>
          <w:color w:val="auto"/>
          <w:spacing w:val="1"/>
          <w:sz w:val="21"/>
          <w:szCs w:val="21"/>
          <w:highlight w:val="none"/>
          <w14:textOutline w14:w="2793" w14:cap="flat" w14:cmpd="sng">
            <w14:solidFill>
              <w14:srgbClr w14:val="000000"/>
            </w14:solidFill>
            <w14:prstDash w14:val="solid"/>
            <w14:miter w14:val="0"/>
          </w14:textOutline>
        </w:rPr>
        <w:t>3</w:t>
      </w:r>
      <w:r>
        <w:rPr>
          <w:rFonts w:hint="default" w:ascii="Times New Roman" w:hAnsi="Times New Roman" w:eastAsia="仿宋" w:cs="Times New Roman"/>
          <w:color w:val="auto"/>
          <w:sz w:val="21"/>
          <w:szCs w:val="21"/>
          <w:highlight w:val="none"/>
          <w14:textOutline w14:w="2793" w14:cap="flat" w14:cmpd="sng">
            <w14:solidFill>
              <w14:srgbClr w14:val="000000"/>
            </w14:solidFill>
            <w14:prstDash w14:val="solid"/>
            <w14:miter w14:val="0"/>
          </w14:textOutline>
        </w:rPr>
        <w:t>-9</w:t>
      </w:r>
      <w:r>
        <w:rPr>
          <w:rFonts w:hint="default" w:ascii="Times New Roman" w:hAnsi="Times New Roman" w:eastAsia="仿宋" w:cs="Times New Roman"/>
          <w:color w:val="auto"/>
          <w:spacing w:val="1"/>
          <w:sz w:val="21"/>
          <w:szCs w:val="21"/>
          <w:highlight w:val="none"/>
        </w:rPr>
        <w:t xml:space="preserve">    </w:t>
      </w: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方案设计水保工程措施与完成工程对比情况表</w:t>
      </w:r>
    </w:p>
    <w:p>
      <w:pPr>
        <w:pStyle w:val="8"/>
        <w:tabs>
          <w:tab w:val="left" w:pos="3733"/>
        </w:tabs>
        <w:spacing w:before="74" w:after="24"/>
        <w:ind w:left="2693"/>
        <w:rPr>
          <w:rFonts w:hint="default" w:ascii="Times New Roman" w:hAnsi="Times New Roman" w:cs="Times New Roman"/>
          <w:color w:val="auto"/>
          <w:highlight w:val="none"/>
        </w:rPr>
      </w:pPr>
      <w:r>
        <w:rPr>
          <w:rFonts w:hint="default" w:ascii="Times New Roman" w:hAnsi="Times New Roman" w:cs="Times New Roman"/>
          <w:color w:val="auto"/>
          <w:highlight w:val="none"/>
        </w:rPr>
        <w:t>实际完成的水土保持工程量表</w:t>
      </w:r>
    </w:p>
    <w:tbl>
      <w:tblPr>
        <w:tblStyle w:val="20"/>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17"/>
        <w:gridCol w:w="1381"/>
        <w:gridCol w:w="1338"/>
        <w:gridCol w:w="932"/>
        <w:gridCol w:w="1218"/>
        <w:gridCol w:w="1218"/>
        <w:gridCol w:w="121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措施类型</w:t>
            </w: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33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932"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2436" w:type="dxa"/>
            <w:gridSpan w:val="2"/>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工程量</w:t>
            </w:r>
          </w:p>
        </w:tc>
        <w:tc>
          <w:tcPr>
            <w:tcW w:w="1218"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3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932"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方案设计</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实际完成</w:t>
            </w:r>
          </w:p>
        </w:tc>
        <w:tc>
          <w:tcPr>
            <w:tcW w:w="1218"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工程措施</w:t>
            </w:r>
          </w:p>
        </w:tc>
        <w:tc>
          <w:tcPr>
            <w:tcW w:w="1381"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14733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14733</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弃渣回填区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挡渣墙</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92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92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截水沟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137</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137</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排水沟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229</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229</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浆砌石沉砂池</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1260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1260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ind w:firstLine="240" w:firstLineChars="100"/>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0.84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截排水沟</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448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448</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永久沉砂池</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4</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10000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10000</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75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75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0.05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施工生产生活区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252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临时堆土区</w:t>
            </w: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表土剥离</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m³</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252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217"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381"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33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土地平整</w:t>
            </w:r>
          </w:p>
        </w:tc>
        <w:tc>
          <w:tcPr>
            <w:tcW w:w="93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0.2</w:t>
            </w:r>
          </w:p>
        </w:tc>
        <w:tc>
          <w:tcPr>
            <w:tcW w:w="121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eastAsia="仿宋" w:cs="Times New Roman"/>
                <w:color w:val="auto"/>
                <w:sz w:val="21"/>
                <w:szCs w:val="21"/>
                <w:highlight w:val="none"/>
                <w:vertAlign w:val="baseline"/>
                <w:lang w:val="en-US" w:eastAsia="zh-CN"/>
              </w:rPr>
              <w:t>/</w:t>
            </w:r>
          </w:p>
        </w:tc>
      </w:tr>
    </w:tbl>
    <w:p>
      <w:pPr>
        <w:spacing w:before="180" w:line="217" w:lineRule="auto"/>
        <w:ind w:firstLine="615"/>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与方案工程措施工程量变化原因分析如下</w:t>
      </w:r>
      <w:r>
        <w:rPr>
          <w:rFonts w:hint="default" w:ascii="Times New Roman" w:hAnsi="Times New Roman" w:eastAsia="仿宋" w:cs="Times New Roman"/>
          <w:color w:val="auto"/>
          <w:spacing w:val="-82"/>
          <w:sz w:val="24"/>
          <w:szCs w:val="24"/>
          <w:highlight w:val="none"/>
        </w:rPr>
        <w:t>：</w:t>
      </w:r>
    </w:p>
    <w:p>
      <w:pPr>
        <w:spacing w:before="184" w:line="360" w:lineRule="auto"/>
        <w:ind w:left="122" w:right="112" w:firstLine="498"/>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color w:val="auto"/>
          <w:sz w:val="24"/>
          <w:szCs w:val="24"/>
          <w:highlight w:val="none"/>
        </w:rPr>
        <w:t>1</w:t>
      </w:r>
      <w:r>
        <w:rPr>
          <w:rFonts w:hint="default" w:ascii="Times New Roman" w:hAnsi="Times New Roman" w:eastAsia="Times New Roman" w:cs="Times New Roman"/>
          <w:color w:val="auto"/>
          <w:spacing w:val="-2"/>
          <w:sz w:val="24"/>
          <w:szCs w:val="24"/>
          <w:highlight w:val="none"/>
        </w:rPr>
        <w:t xml:space="preserve"> </w:t>
      </w:r>
      <w:r>
        <w:rPr>
          <w:rFonts w:hint="default" w:ascii="Times New Roman" w:hAnsi="Times New Roman" w:eastAsia="仿宋" w:cs="Times New Roman"/>
          <w:color w:val="auto"/>
          <w:spacing w:val="-5"/>
          <w:sz w:val="24"/>
          <w:szCs w:val="24"/>
          <w:highlight w:val="none"/>
        </w:rPr>
        <w:t>）</w:t>
      </w:r>
      <w:r>
        <w:rPr>
          <w:rFonts w:hint="default" w:ascii="Times New Roman" w:hAnsi="Times New Roman" w:eastAsia="仿宋" w:cs="Times New Roman"/>
          <w:color w:val="auto"/>
          <w:sz w:val="24"/>
          <w:szCs w:val="24"/>
          <w:highlight w:val="none"/>
        </w:rPr>
        <w:t>实际施工中</w:t>
      </w:r>
      <w:r>
        <w:rPr>
          <w:rFonts w:hint="default" w:ascii="Times New Roman" w:hAnsi="Times New Roman" w:eastAsia="仿宋" w:cs="Times New Roman"/>
          <w:color w:val="auto"/>
          <w:spacing w:val="-4"/>
          <w:sz w:val="24"/>
          <w:szCs w:val="24"/>
          <w:highlight w:val="none"/>
        </w:rPr>
        <w:t>，</w:t>
      </w:r>
      <w:r>
        <w:rPr>
          <w:rFonts w:hint="default" w:ascii="Times New Roman" w:hAnsi="Times New Roman" w:eastAsia="仿宋" w:cs="Times New Roman"/>
          <w:color w:val="auto"/>
          <w:sz w:val="24"/>
          <w:szCs w:val="24"/>
          <w:highlight w:val="none"/>
        </w:rPr>
        <w:t>对主体工程区排水工程进行了优化</w:t>
      </w:r>
      <w:r>
        <w:rPr>
          <w:rFonts w:hint="default" w:ascii="Times New Roman" w:hAnsi="Times New Roman" w:eastAsia="仿宋" w:cs="Times New Roman"/>
          <w:color w:val="auto"/>
          <w:spacing w:val="-4"/>
          <w:sz w:val="24"/>
          <w:szCs w:val="24"/>
          <w:highlight w:val="none"/>
        </w:rPr>
        <w:t>，</w:t>
      </w:r>
      <w:r>
        <w:rPr>
          <w:rFonts w:hint="default" w:ascii="Times New Roman" w:hAnsi="Times New Roman" w:eastAsia="仿宋" w:cs="Times New Roman"/>
          <w:color w:val="auto"/>
          <w:sz w:val="24"/>
          <w:szCs w:val="24"/>
          <w:highlight w:val="none"/>
        </w:rPr>
        <w:t>减少了排水管网工程量</w:t>
      </w:r>
      <w:r>
        <w:rPr>
          <w:rFonts w:hint="default" w:ascii="Times New Roman" w:hAnsi="Times New Roman" w:eastAsia="仿宋" w:cs="Times New Roman"/>
          <w:color w:val="auto"/>
          <w:spacing w:val="-4"/>
          <w:sz w:val="24"/>
          <w:szCs w:val="24"/>
          <w:highlight w:val="none"/>
        </w:rPr>
        <w:t>，</w:t>
      </w:r>
      <w:r>
        <w:rPr>
          <w:rFonts w:hint="default" w:ascii="Times New Roman" w:hAnsi="Times New Roman" w:eastAsia="仿宋" w:cs="Times New Roman"/>
          <w:color w:val="auto"/>
          <w:sz w:val="24"/>
          <w:szCs w:val="24"/>
          <w:highlight w:val="none"/>
        </w:rPr>
        <w:t>增 加了砖砌排水明沟</w:t>
      </w:r>
      <w:r>
        <w:rPr>
          <w:rFonts w:hint="default" w:ascii="Times New Roman" w:hAnsi="Times New Roman" w:eastAsia="仿宋" w:cs="Times New Roman"/>
          <w:color w:val="auto"/>
          <w:spacing w:val="-28"/>
          <w:sz w:val="24"/>
          <w:szCs w:val="24"/>
          <w:highlight w:val="none"/>
        </w:rPr>
        <w:t>、</w:t>
      </w:r>
      <w:r>
        <w:rPr>
          <w:rFonts w:hint="default" w:ascii="Times New Roman" w:hAnsi="Times New Roman" w:eastAsia="仿宋" w:cs="Times New Roman"/>
          <w:color w:val="auto"/>
          <w:sz w:val="24"/>
          <w:szCs w:val="24"/>
          <w:highlight w:val="none"/>
        </w:rPr>
        <w:t>混凝土排水明沟</w:t>
      </w:r>
      <w:r>
        <w:rPr>
          <w:rFonts w:hint="default" w:ascii="Times New Roman" w:hAnsi="Times New Roman" w:eastAsia="仿宋" w:cs="Times New Roman"/>
          <w:color w:val="auto"/>
          <w:spacing w:val="-27"/>
          <w:sz w:val="24"/>
          <w:szCs w:val="24"/>
          <w:highlight w:val="none"/>
        </w:rPr>
        <w:t>。</w:t>
      </w:r>
    </w:p>
    <w:p>
      <w:pPr>
        <w:numPr>
          <w:ilvl w:val="0"/>
          <w:numId w:val="24"/>
        </w:numPr>
        <w:spacing w:before="1" w:line="215" w:lineRule="auto"/>
        <w:ind w:firstLine="597"/>
        <w:rPr>
          <w:rFonts w:hint="default" w:ascii="Times New Roman" w:hAnsi="Times New Roman" w:eastAsia="仿宋" w:cs="Times New Roman"/>
          <w:color w:val="auto"/>
          <w:spacing w:val="-17"/>
          <w:sz w:val="24"/>
          <w:szCs w:val="24"/>
          <w:highlight w:val="none"/>
        </w:rPr>
      </w:pPr>
      <w:r>
        <w:rPr>
          <w:rFonts w:hint="default" w:ascii="Times New Roman" w:hAnsi="Times New Roman" w:eastAsia="仿宋" w:cs="Times New Roman"/>
          <w:color w:val="auto"/>
          <w:sz w:val="24"/>
          <w:szCs w:val="24"/>
          <w:highlight w:val="none"/>
        </w:rPr>
        <w:t>实际施工中根据后期绿化要求</w:t>
      </w:r>
      <w:r>
        <w:rPr>
          <w:rFonts w:hint="default" w:ascii="Times New Roman" w:hAnsi="Times New Roman" w:eastAsia="仿宋" w:cs="Times New Roman"/>
          <w:color w:val="auto"/>
          <w:spacing w:val="-17"/>
          <w:sz w:val="24"/>
          <w:szCs w:val="24"/>
          <w:highlight w:val="none"/>
        </w:rPr>
        <w:t>，</w:t>
      </w:r>
      <w:r>
        <w:rPr>
          <w:rFonts w:hint="default" w:ascii="Times New Roman" w:hAnsi="Times New Roman" w:eastAsia="仿宋" w:cs="Times New Roman"/>
          <w:color w:val="auto"/>
          <w:sz w:val="24"/>
          <w:szCs w:val="24"/>
          <w:highlight w:val="none"/>
        </w:rPr>
        <w:t>调整了土地整治面积</w:t>
      </w:r>
      <w:r>
        <w:rPr>
          <w:rFonts w:hint="default" w:ascii="Times New Roman" w:hAnsi="Times New Roman" w:eastAsia="仿宋" w:cs="Times New Roman"/>
          <w:color w:val="auto"/>
          <w:spacing w:val="-17"/>
          <w:sz w:val="24"/>
          <w:szCs w:val="24"/>
          <w:highlight w:val="none"/>
        </w:rPr>
        <w:t>。</w:t>
      </w:r>
    </w:p>
    <w:p>
      <w:pPr>
        <w:pStyle w:val="4"/>
        <w:bidi w:val="0"/>
        <w:outlineLvl w:val="1"/>
        <w:rPr>
          <w:rFonts w:hint="default" w:ascii="Times New Roman" w:hAnsi="Times New Roman" w:cs="Times New Roman"/>
          <w:color w:val="auto"/>
          <w:spacing w:val="-17"/>
          <w:szCs w:val="24"/>
          <w:highlight w:val="none"/>
          <w:lang w:val="en-US" w:eastAsia="zh-CN"/>
        </w:rPr>
      </w:pPr>
      <w:bookmarkStart w:id="405" w:name="_Toc11876"/>
      <w:bookmarkStart w:id="406" w:name="_Toc5744"/>
      <w:bookmarkStart w:id="407" w:name="_Toc27087"/>
      <w:r>
        <w:rPr>
          <w:rFonts w:hint="default" w:ascii="Times New Roman" w:hAnsi="Times New Roman" w:cs="Times New Roman"/>
          <w:color w:val="auto"/>
          <w:highlight w:val="none"/>
          <w:lang w:val="en-US" w:eastAsia="zh-CN"/>
        </w:rPr>
        <w:t>3.5.2 植物措施完成情况</w:t>
      </w:r>
      <w:bookmarkEnd w:id="405"/>
      <w:bookmarkEnd w:id="406"/>
      <w:bookmarkEnd w:id="407"/>
    </w:p>
    <w:p>
      <w:pPr>
        <w:keepNext w:val="0"/>
        <w:keepLines w:val="0"/>
        <w:pageBreakBefore w:val="0"/>
        <w:widowControl w:val="0"/>
        <w:kinsoku/>
        <w:wordWrap/>
        <w:overflowPunct/>
        <w:topLinePunct w:val="0"/>
        <w:autoSpaceDE/>
        <w:autoSpaceDN/>
        <w:bidi w:val="0"/>
        <w:adjustRightInd/>
        <w:snapToGrid/>
        <w:spacing w:line="360" w:lineRule="auto"/>
        <w:ind w:right="0"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自验小组通过对竣工资料查阅</w:t>
      </w:r>
      <w:r>
        <w:rPr>
          <w:rFonts w:hint="default" w:ascii="Times New Roman" w:hAnsi="Times New Roman" w:eastAsia="仿宋" w:cs="Times New Roman"/>
          <w:color w:val="auto"/>
          <w:spacing w:val="-52"/>
          <w:sz w:val="24"/>
          <w:szCs w:val="24"/>
          <w:highlight w:val="none"/>
        </w:rPr>
        <w:t>、</w:t>
      </w:r>
      <w:r>
        <w:rPr>
          <w:rFonts w:hint="default" w:ascii="Times New Roman" w:hAnsi="Times New Roman" w:eastAsia="仿宋" w:cs="Times New Roman"/>
          <w:color w:val="auto"/>
          <w:sz w:val="24"/>
          <w:szCs w:val="24"/>
          <w:highlight w:val="none"/>
        </w:rPr>
        <w:t>现场查勘以及复核</w:t>
      </w:r>
      <w:r>
        <w:rPr>
          <w:rFonts w:hint="default" w:ascii="Times New Roman" w:hAnsi="Times New Roman" w:eastAsia="仿宋" w:cs="Times New Roman"/>
          <w:color w:val="auto"/>
          <w:spacing w:val="-51"/>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各分区水土保持植物措施都已实施</w:t>
      </w:r>
      <w:r>
        <w:rPr>
          <w:rFonts w:hint="default" w:ascii="Times New Roman" w:hAnsi="Times New Roman" w:eastAsia="仿宋" w:cs="Times New Roman"/>
          <w:color w:val="auto"/>
          <w:spacing w:val="-15"/>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其他工程区采取园林绿化</w:t>
      </w:r>
      <w:r>
        <w:rPr>
          <w:rFonts w:hint="default" w:ascii="Times New Roman" w:hAnsi="Times New Roman" w:eastAsia="仿宋" w:cs="Times New Roman"/>
          <w:color w:val="auto"/>
          <w:spacing w:val="-15"/>
          <w:sz w:val="24"/>
          <w:szCs w:val="24"/>
          <w:highlight w:val="none"/>
        </w:rPr>
        <w:t>、</w:t>
      </w:r>
      <w:r>
        <w:rPr>
          <w:rFonts w:hint="default" w:ascii="Times New Roman" w:hAnsi="Times New Roman" w:eastAsia="仿宋" w:cs="Times New Roman"/>
          <w:color w:val="auto"/>
          <w:sz w:val="24"/>
          <w:szCs w:val="24"/>
          <w:highlight w:val="none"/>
        </w:rPr>
        <w:t>栽植乔灌木</w:t>
      </w:r>
      <w:r>
        <w:rPr>
          <w:rFonts w:hint="default" w:ascii="Times New Roman" w:hAnsi="Times New Roman" w:eastAsia="仿宋" w:cs="Times New Roman"/>
          <w:color w:val="auto"/>
          <w:spacing w:val="-15"/>
          <w:sz w:val="24"/>
          <w:szCs w:val="24"/>
          <w:highlight w:val="none"/>
        </w:rPr>
        <w:t>、</w:t>
      </w:r>
      <w:r>
        <w:rPr>
          <w:rFonts w:hint="default" w:ascii="Times New Roman" w:hAnsi="Times New Roman" w:eastAsia="仿宋" w:cs="Times New Roman"/>
          <w:color w:val="auto"/>
          <w:sz w:val="24"/>
          <w:szCs w:val="24"/>
          <w:highlight w:val="none"/>
        </w:rPr>
        <w:t>铺草皮等措施</w:t>
      </w:r>
      <w:r>
        <w:rPr>
          <w:rFonts w:hint="default" w:ascii="Times New Roman" w:hAnsi="Times New Roman" w:eastAsia="仿宋" w:cs="Times New Roman"/>
          <w:color w:val="auto"/>
          <w:spacing w:val="-15"/>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临时堆土区采取撒草籽 等措施</w:t>
      </w:r>
      <w:r>
        <w:rPr>
          <w:rFonts w:hint="default" w:ascii="Times New Roman" w:hAnsi="Times New Roman" w:eastAsia="仿宋" w:cs="Times New Roman"/>
          <w:color w:val="auto"/>
          <w:spacing w:val="-21"/>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施工临建区采取撒草籽的植物措施</w:t>
      </w:r>
      <w:r>
        <w:rPr>
          <w:rFonts w:hint="default" w:ascii="Times New Roman" w:hAnsi="Times New Roman" w:eastAsia="仿宋" w:cs="Times New Roman"/>
          <w:color w:val="auto"/>
          <w:spacing w:val="-20"/>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进场道路区采取撒草籽</w:t>
      </w:r>
      <w:r>
        <w:rPr>
          <w:rFonts w:hint="default" w:ascii="Times New Roman" w:hAnsi="Times New Roman" w:eastAsia="仿宋" w:cs="Times New Roman"/>
          <w:color w:val="auto"/>
          <w:spacing w:val="-20"/>
          <w:sz w:val="24"/>
          <w:szCs w:val="24"/>
          <w:highlight w:val="none"/>
        </w:rPr>
        <w:t>、</w:t>
      </w:r>
      <w:r>
        <w:rPr>
          <w:rFonts w:hint="default" w:ascii="Times New Roman" w:hAnsi="Times New Roman" w:eastAsia="仿宋" w:cs="Times New Roman"/>
          <w:color w:val="auto"/>
          <w:sz w:val="24"/>
          <w:szCs w:val="24"/>
          <w:highlight w:val="none"/>
        </w:rPr>
        <w:t>栽植乔灌木等措施</w:t>
      </w:r>
      <w:r>
        <w:rPr>
          <w:rFonts w:hint="default" w:ascii="Times New Roman" w:hAnsi="Times New Roman" w:eastAsia="仿宋" w:cs="Times New Roman"/>
          <w:color w:val="auto"/>
          <w:spacing w:val="-30"/>
          <w:sz w:val="24"/>
          <w:szCs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before="1" w:line="360" w:lineRule="auto"/>
        <w:jc w:val="both"/>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3.5.2.1 主体工程区植物措施</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jc w:val="both"/>
        <w:textAlignment w:val="auto"/>
        <w:rPr>
          <w:rFonts w:hint="default" w:ascii="Times New Roman" w:hAnsi="Times New Roman" w:eastAsia="仿宋" w:cs="Times New Roman"/>
          <w:b w:val="0"/>
          <w:bCs w:val="0"/>
          <w:color w:val="auto"/>
          <w:sz w:val="24"/>
          <w:szCs w:val="24"/>
          <w:highlight w:val="none"/>
          <w:lang w:val="en-US" w:eastAsia="zh-CN"/>
        </w:rPr>
      </w:pPr>
      <w:r>
        <w:rPr>
          <w:rFonts w:hint="default" w:ascii="Times New Roman" w:hAnsi="Times New Roman" w:eastAsia="仿宋" w:cs="Times New Roman"/>
          <w:color w:val="auto"/>
          <w:sz w:val="24"/>
          <w:szCs w:val="24"/>
          <w:highlight w:val="none"/>
        </w:rPr>
        <w:t>主体工程区完成植物措施工程量为</w:t>
      </w:r>
      <w:r>
        <w:rPr>
          <w:rFonts w:hint="default" w:ascii="Times New Roman" w:hAnsi="Times New Roman" w:eastAsia="仿宋" w:cs="Times New Roman"/>
          <w:color w:val="auto"/>
          <w:spacing w:val="-48"/>
          <w:sz w:val="24"/>
          <w:szCs w:val="24"/>
          <w:highlight w:val="none"/>
        </w:rPr>
        <w:t>：</w:t>
      </w:r>
    </w:p>
    <w:p>
      <w:pPr>
        <w:keepNext w:val="0"/>
        <w:keepLines w:val="0"/>
        <w:pageBreakBefore w:val="0"/>
        <w:widowControl w:val="0"/>
        <w:numPr>
          <w:ilvl w:val="0"/>
          <w:numId w:val="0"/>
        </w:numPr>
        <w:kinsoku/>
        <w:wordWrap/>
        <w:overflowPunct/>
        <w:topLinePunct w:val="0"/>
        <w:autoSpaceDE/>
        <w:autoSpaceDN/>
        <w:bidi w:val="0"/>
        <w:adjustRightInd/>
        <w:snapToGrid/>
        <w:spacing w:before="1" w:line="360" w:lineRule="auto"/>
        <w:jc w:val="center"/>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主体工程区水土保持工程措施完成情况表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704"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铺草皮</w:t>
            </w:r>
          </w:p>
        </w:tc>
        <w:tc>
          <w:tcPr>
            <w:tcW w:w="1704"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1705"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3348</w:t>
            </w:r>
          </w:p>
        </w:tc>
        <w:tc>
          <w:tcPr>
            <w:tcW w:w="1705"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jc w:val="center"/>
              <w:rPr>
                <w:rFonts w:hint="default" w:ascii="Times New Roman" w:hAnsi="Times New Roman" w:cs="Times New Roman"/>
                <w:color w:val="auto"/>
                <w:sz w:val="21"/>
                <w:szCs w:val="21"/>
                <w:highlight w:val="none"/>
                <w:vertAlign w:val="baseline"/>
                <w:lang w:val="en-US" w:eastAsia="zh-CN"/>
              </w:rPr>
            </w:pPr>
          </w:p>
        </w:tc>
        <w:tc>
          <w:tcPr>
            <w:tcW w:w="1704" w:type="dxa"/>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植树</w:t>
            </w:r>
          </w:p>
        </w:tc>
        <w:tc>
          <w:tcPr>
            <w:tcW w:w="1704" w:type="dxa"/>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株</w:t>
            </w:r>
          </w:p>
        </w:tc>
        <w:tc>
          <w:tcPr>
            <w:tcW w:w="1705" w:type="dxa"/>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16470</w:t>
            </w:r>
          </w:p>
        </w:tc>
        <w:tc>
          <w:tcPr>
            <w:tcW w:w="1705" w:type="dxa"/>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keepNext w:val="0"/>
        <w:keepLines w:val="0"/>
        <w:pageBreakBefore w:val="0"/>
        <w:widowControl w:val="0"/>
        <w:numPr>
          <w:ilvl w:val="0"/>
          <w:numId w:val="0"/>
        </w:numPr>
        <w:kinsoku/>
        <w:wordWrap/>
        <w:overflowPunct/>
        <w:topLinePunct w:val="0"/>
        <w:autoSpaceDE/>
        <w:autoSpaceDN/>
        <w:bidi w:val="0"/>
        <w:adjustRightInd/>
        <w:snapToGrid/>
        <w:spacing w:before="1" w:line="360" w:lineRule="auto"/>
        <w:jc w:val="center"/>
        <w:textAlignment w:val="auto"/>
        <w:rPr>
          <w:rFonts w:hint="default" w:ascii="Times New Roman" w:hAnsi="Times New Roman" w:cs="Times New Roman"/>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 w:line="360" w:lineRule="auto"/>
        <w:jc w:val="center"/>
        <w:textAlignment w:val="auto"/>
        <w:rPr>
          <w:rFonts w:hint="default" w:ascii="Times New Roman" w:hAnsi="Times New Roman" w:cs="Times New Roman"/>
          <w:color w:val="auto"/>
          <w:sz w:val="24"/>
          <w:szCs w:val="24"/>
          <w:highlight w:val="none"/>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before="1" w:line="360" w:lineRule="auto"/>
        <w:jc w:val="center"/>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cs="Times New Roman"/>
          <w:color w:val="auto"/>
          <w:sz w:val="24"/>
          <w:szCs w:val="24"/>
          <w:highlight w:val="none"/>
          <w:lang w:val="en-US" w:eastAsia="zh-CN"/>
        </w:rPr>
        <w:t>主体工程区水土保持工程措施对比情况表</w:t>
      </w:r>
    </w:p>
    <w:tbl>
      <w:tblPr>
        <w:tblStyle w:val="20"/>
        <w:tblW w:w="856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338"/>
        <w:gridCol w:w="1611"/>
        <w:gridCol w:w="1351"/>
        <w:gridCol w:w="1420"/>
        <w:gridCol w:w="1420"/>
        <w:gridCol w:w="14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vAlign w:val="center"/>
          </w:tcPr>
          <w:p>
            <w:pPr>
              <w:jc w:val="center"/>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防治分区</w:t>
            </w:r>
          </w:p>
        </w:tc>
        <w:tc>
          <w:tcPr>
            <w:tcW w:w="1611" w:type="dxa"/>
            <w:vAlign w:val="center"/>
          </w:tcPr>
          <w:p>
            <w:pPr>
              <w:jc w:val="center"/>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措施名称</w:t>
            </w:r>
          </w:p>
        </w:tc>
        <w:tc>
          <w:tcPr>
            <w:tcW w:w="1351" w:type="dxa"/>
            <w:vAlign w:val="center"/>
          </w:tcPr>
          <w:p>
            <w:pPr>
              <w:jc w:val="center"/>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单位</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方案设计</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实际完成</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增减变化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vMerge w:val="restart"/>
            <w:vAlign w:val="center"/>
          </w:tcPr>
          <w:p>
            <w:pPr>
              <w:jc w:val="center"/>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主体工程区</w:t>
            </w:r>
          </w:p>
        </w:tc>
        <w:tc>
          <w:tcPr>
            <w:tcW w:w="1611" w:type="dxa"/>
            <w:vAlign w:val="center"/>
          </w:tcPr>
          <w:p>
            <w:pPr>
              <w:jc w:val="center"/>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铺草皮</w:t>
            </w:r>
          </w:p>
        </w:tc>
        <w:tc>
          <w:tcPr>
            <w:tcW w:w="1351" w:type="dxa"/>
            <w:vAlign w:val="center"/>
          </w:tcPr>
          <w:p>
            <w:pPr>
              <w:jc w:val="center"/>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kern w:val="2"/>
                <w:sz w:val="21"/>
                <w:szCs w:val="21"/>
                <w:highlight w:val="none"/>
                <w:vertAlign w:val="baseline"/>
                <w:lang w:val="en-US" w:eastAsia="zh-CN" w:bidi="ar-SA"/>
              </w:rPr>
              <w:t>㎡</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3348</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3348</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1338" w:type="dxa"/>
            <w:vMerge w:val="continue"/>
            <w:vAlign w:val="center"/>
          </w:tcPr>
          <w:p>
            <w:pPr>
              <w:jc w:val="center"/>
              <w:rPr>
                <w:rFonts w:hint="default" w:ascii="Times New Roman" w:hAnsi="Times New Roman" w:cs="Times New Roman"/>
                <w:color w:val="auto"/>
                <w:sz w:val="21"/>
                <w:szCs w:val="21"/>
                <w:highlight w:val="none"/>
                <w:vertAlign w:val="baseline"/>
                <w:lang w:val="en-US" w:eastAsia="zh-CN"/>
              </w:rPr>
            </w:pPr>
          </w:p>
        </w:tc>
        <w:tc>
          <w:tcPr>
            <w:tcW w:w="1611" w:type="dxa"/>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植树</w:t>
            </w:r>
          </w:p>
        </w:tc>
        <w:tc>
          <w:tcPr>
            <w:tcW w:w="1351" w:type="dxa"/>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株</w:t>
            </w:r>
          </w:p>
        </w:tc>
        <w:tc>
          <w:tcPr>
            <w:tcW w:w="1420" w:type="dxa"/>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16470</w:t>
            </w:r>
          </w:p>
        </w:tc>
        <w:tc>
          <w:tcPr>
            <w:tcW w:w="1420" w:type="dxa"/>
            <w:vAlign w:val="center"/>
          </w:tcPr>
          <w:p>
            <w:pPr>
              <w:jc w:val="center"/>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16470</w:t>
            </w:r>
          </w:p>
        </w:tc>
        <w:tc>
          <w:tcPr>
            <w:tcW w:w="1420" w:type="dxa"/>
            <w:vAlign w:val="center"/>
          </w:tcPr>
          <w:p>
            <w:pPr>
              <w:jc w:val="center"/>
              <w:rPr>
                <w:rFonts w:hint="default" w:ascii="Times New Roman" w:hAnsi="Times New Roman" w:eastAsia="仿宋" w:cs="Times New Roman"/>
                <w:color w:val="auto"/>
                <w:sz w:val="21"/>
                <w:szCs w:val="21"/>
                <w:highlight w:val="none"/>
                <w:vertAlign w:val="baseline"/>
                <w:lang w:val="en-US" w:eastAsia="zh-CN"/>
              </w:rPr>
            </w:pPr>
          </w:p>
        </w:tc>
      </w:tr>
    </w:tbl>
    <w:p>
      <w:pPr>
        <w:pStyle w:val="4"/>
        <w:bidi w:val="0"/>
        <w:outlineLvl w:val="1"/>
        <w:rPr>
          <w:rFonts w:hint="default" w:ascii="Times New Roman" w:hAnsi="Times New Roman" w:cs="Times New Roman"/>
          <w:color w:val="auto"/>
          <w:highlight w:val="none"/>
          <w:lang w:val="en-US" w:eastAsia="zh-CN"/>
        </w:rPr>
      </w:pPr>
      <w:bookmarkStart w:id="408" w:name="_Toc24259"/>
      <w:bookmarkStart w:id="409" w:name="_Toc8194"/>
      <w:bookmarkStart w:id="410" w:name="_Toc4658"/>
      <w:r>
        <w:rPr>
          <w:rFonts w:hint="default" w:ascii="Times New Roman" w:hAnsi="Times New Roman" w:cs="Times New Roman"/>
          <w:color w:val="auto"/>
          <w:highlight w:val="none"/>
          <w:lang w:val="en-US" w:eastAsia="zh-CN"/>
        </w:rPr>
        <w:t>3.5.3 临时措施完成情况</w:t>
      </w:r>
      <w:bookmarkEnd w:id="408"/>
      <w:bookmarkEnd w:id="409"/>
      <w:bookmarkEnd w:id="410"/>
    </w:p>
    <w:p>
      <w:pPr>
        <w:keepNext w:val="0"/>
        <w:keepLines w:val="0"/>
        <w:pageBreakBefore w:val="0"/>
        <w:widowControl w:val="0"/>
        <w:kinsoku/>
        <w:wordWrap/>
        <w:overflowPunct/>
        <w:topLinePunct w:val="0"/>
        <w:autoSpaceDE/>
        <w:autoSpaceDN/>
        <w:bidi w:val="0"/>
        <w:adjustRightInd/>
        <w:snapToGrid/>
        <w:spacing w:before="177" w:line="360" w:lineRule="auto"/>
        <w:ind w:right="108"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自验小组通过对竣工资料查阅</w:t>
      </w:r>
      <w:r>
        <w:rPr>
          <w:rFonts w:hint="default" w:ascii="Times New Roman" w:hAnsi="Times New Roman" w:eastAsia="仿宋" w:cs="Times New Roman"/>
          <w:color w:val="auto"/>
          <w:spacing w:val="-52"/>
          <w:sz w:val="24"/>
          <w:szCs w:val="24"/>
          <w:highlight w:val="none"/>
        </w:rPr>
        <w:t>、</w:t>
      </w:r>
      <w:r>
        <w:rPr>
          <w:rFonts w:hint="default" w:ascii="Times New Roman" w:hAnsi="Times New Roman" w:eastAsia="仿宋" w:cs="Times New Roman"/>
          <w:color w:val="auto"/>
          <w:sz w:val="24"/>
          <w:szCs w:val="24"/>
          <w:highlight w:val="none"/>
        </w:rPr>
        <w:t>现场查勘以及复核</w:t>
      </w:r>
      <w:r>
        <w:rPr>
          <w:rFonts w:hint="default" w:ascii="Times New Roman" w:hAnsi="Times New Roman" w:eastAsia="仿宋" w:cs="Times New Roman"/>
          <w:color w:val="auto"/>
          <w:spacing w:val="-51"/>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各分区水土保持临时措施都已 实施</w:t>
      </w:r>
      <w:r>
        <w:rPr>
          <w:rFonts w:hint="default" w:ascii="Times New Roman" w:hAnsi="Times New Roman" w:eastAsia="仿宋" w:cs="Times New Roman"/>
          <w:color w:val="auto"/>
          <w:spacing w:val="-13"/>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主体工程区采取表土开挖及回填</w:t>
      </w:r>
      <w:r>
        <w:rPr>
          <w:rFonts w:hint="default" w:ascii="Times New Roman" w:hAnsi="Times New Roman" w:eastAsia="仿宋" w:cs="Times New Roman"/>
          <w:color w:val="auto"/>
          <w:spacing w:val="-13"/>
          <w:sz w:val="24"/>
          <w:szCs w:val="24"/>
          <w:highlight w:val="none"/>
        </w:rPr>
        <w:t>、</w:t>
      </w:r>
      <w:r>
        <w:rPr>
          <w:rFonts w:hint="default" w:ascii="Times New Roman" w:hAnsi="Times New Roman" w:eastAsia="仿宋" w:cs="Times New Roman"/>
          <w:color w:val="auto"/>
          <w:sz w:val="24"/>
          <w:szCs w:val="24"/>
          <w:highlight w:val="none"/>
        </w:rPr>
        <w:t>袋装土拦挡</w:t>
      </w:r>
      <w:r>
        <w:rPr>
          <w:rFonts w:hint="default" w:ascii="Times New Roman" w:hAnsi="Times New Roman" w:eastAsia="仿宋" w:cs="Times New Roman"/>
          <w:color w:val="auto"/>
          <w:spacing w:val="-13"/>
          <w:sz w:val="24"/>
          <w:szCs w:val="24"/>
          <w:highlight w:val="none"/>
        </w:rPr>
        <w:t>、</w:t>
      </w:r>
      <w:r>
        <w:rPr>
          <w:rFonts w:hint="default" w:ascii="Times New Roman" w:hAnsi="Times New Roman" w:eastAsia="仿宋" w:cs="Times New Roman"/>
          <w:color w:val="auto"/>
          <w:sz w:val="24"/>
          <w:szCs w:val="24"/>
          <w:highlight w:val="none"/>
        </w:rPr>
        <w:t>防尘网覆盖</w:t>
      </w:r>
      <w:r>
        <w:rPr>
          <w:rFonts w:hint="default" w:ascii="Times New Roman" w:hAnsi="Times New Roman" w:eastAsia="仿宋" w:cs="Times New Roman"/>
          <w:color w:val="auto"/>
          <w:spacing w:val="-12"/>
          <w:sz w:val="24"/>
          <w:szCs w:val="24"/>
          <w:highlight w:val="none"/>
        </w:rPr>
        <w:t>、</w:t>
      </w:r>
      <w:r>
        <w:rPr>
          <w:rFonts w:hint="default" w:ascii="Times New Roman" w:hAnsi="Times New Roman" w:eastAsia="仿宋" w:cs="Times New Roman"/>
          <w:color w:val="auto"/>
          <w:sz w:val="24"/>
          <w:szCs w:val="24"/>
          <w:highlight w:val="none"/>
        </w:rPr>
        <w:t>临时排水沟</w:t>
      </w:r>
      <w:r>
        <w:rPr>
          <w:rFonts w:hint="default" w:ascii="Times New Roman" w:hAnsi="Times New Roman" w:eastAsia="仿宋" w:cs="Times New Roman"/>
          <w:color w:val="auto"/>
          <w:spacing w:val="-12"/>
          <w:sz w:val="24"/>
          <w:szCs w:val="24"/>
          <w:highlight w:val="none"/>
        </w:rPr>
        <w:t>、</w:t>
      </w:r>
      <w:r>
        <w:rPr>
          <w:rFonts w:hint="default" w:ascii="Times New Roman" w:hAnsi="Times New Roman" w:eastAsia="仿宋" w:cs="Times New Roman"/>
          <w:color w:val="auto"/>
          <w:sz w:val="24"/>
          <w:szCs w:val="24"/>
          <w:highlight w:val="none"/>
        </w:rPr>
        <w:t>临时 沉砂池</w:t>
      </w:r>
      <w:r>
        <w:rPr>
          <w:rFonts w:hint="default" w:ascii="Times New Roman" w:hAnsi="Times New Roman" w:eastAsia="仿宋" w:cs="Times New Roman"/>
          <w:color w:val="auto"/>
          <w:spacing w:val="-12"/>
          <w:sz w:val="24"/>
          <w:szCs w:val="24"/>
          <w:highlight w:val="none"/>
        </w:rPr>
        <w:t>、</w:t>
      </w:r>
      <w:r>
        <w:rPr>
          <w:rFonts w:hint="default" w:ascii="Times New Roman" w:hAnsi="Times New Roman" w:eastAsia="仿宋" w:cs="Times New Roman"/>
          <w:color w:val="auto"/>
          <w:sz w:val="24"/>
          <w:szCs w:val="24"/>
          <w:highlight w:val="none"/>
        </w:rPr>
        <w:t>洗车池等措施</w:t>
      </w:r>
      <w:r>
        <w:rPr>
          <w:rFonts w:hint="default" w:ascii="Times New Roman" w:hAnsi="Times New Roman" w:eastAsia="仿宋" w:cs="Times New Roman"/>
          <w:color w:val="auto"/>
          <w:spacing w:val="-12"/>
          <w:sz w:val="24"/>
          <w:szCs w:val="24"/>
          <w:highlight w:val="none"/>
        </w:rPr>
        <w:t>；</w:t>
      </w:r>
      <w:r>
        <w:rPr>
          <w:rFonts w:hint="default" w:ascii="Times New Roman" w:hAnsi="Times New Roman" w:eastAsia="仿宋" w:cs="Times New Roman"/>
          <w:color w:val="auto"/>
          <w:sz w:val="24"/>
          <w:szCs w:val="24"/>
          <w:highlight w:val="none"/>
        </w:rPr>
        <w:t>施工临建区采取表土开挖及回填</w:t>
      </w:r>
      <w:r>
        <w:rPr>
          <w:rFonts w:hint="default" w:ascii="Times New Roman" w:hAnsi="Times New Roman" w:eastAsia="仿宋" w:cs="Times New Roman"/>
          <w:color w:val="auto"/>
          <w:spacing w:val="-11"/>
          <w:sz w:val="24"/>
          <w:szCs w:val="24"/>
          <w:highlight w:val="none"/>
        </w:rPr>
        <w:t>、</w:t>
      </w:r>
      <w:r>
        <w:rPr>
          <w:rFonts w:hint="default" w:ascii="Times New Roman" w:hAnsi="Times New Roman" w:eastAsia="仿宋" w:cs="Times New Roman"/>
          <w:color w:val="auto"/>
          <w:sz w:val="24"/>
          <w:szCs w:val="24"/>
          <w:highlight w:val="none"/>
        </w:rPr>
        <w:t>铺撒碎石子</w:t>
      </w:r>
      <w:r>
        <w:rPr>
          <w:rFonts w:hint="default" w:ascii="Times New Roman" w:hAnsi="Times New Roman" w:eastAsia="仿宋" w:cs="Times New Roman"/>
          <w:color w:val="auto"/>
          <w:spacing w:val="-11"/>
          <w:sz w:val="24"/>
          <w:szCs w:val="24"/>
          <w:highlight w:val="none"/>
        </w:rPr>
        <w:t>、</w:t>
      </w:r>
      <w:r>
        <w:rPr>
          <w:rFonts w:hint="default" w:ascii="Times New Roman" w:hAnsi="Times New Roman" w:eastAsia="仿宋" w:cs="Times New Roman"/>
          <w:color w:val="auto"/>
          <w:sz w:val="24"/>
          <w:szCs w:val="24"/>
          <w:highlight w:val="none"/>
        </w:rPr>
        <w:t>临时排水沟</w:t>
      </w:r>
      <w:r>
        <w:rPr>
          <w:rFonts w:hint="default" w:ascii="Times New Roman" w:hAnsi="Times New Roman" w:eastAsia="仿宋" w:cs="Times New Roman"/>
          <w:color w:val="auto"/>
          <w:spacing w:val="-11"/>
          <w:sz w:val="24"/>
          <w:szCs w:val="24"/>
          <w:highlight w:val="none"/>
        </w:rPr>
        <w:t>、</w:t>
      </w:r>
      <w:r>
        <w:rPr>
          <w:rFonts w:hint="default" w:ascii="Times New Roman" w:hAnsi="Times New Roman" w:eastAsia="仿宋" w:cs="Times New Roman"/>
          <w:color w:val="auto"/>
          <w:sz w:val="24"/>
          <w:szCs w:val="24"/>
          <w:highlight w:val="none"/>
        </w:rPr>
        <w:t xml:space="preserve"> 临时沉砂池等措施</w:t>
      </w:r>
      <w:r>
        <w:rPr>
          <w:rFonts w:hint="default" w:ascii="Times New Roman" w:hAnsi="Times New Roman" w:eastAsia="仿宋" w:cs="Times New Roman"/>
          <w:color w:val="auto"/>
          <w:spacing w:val="-16"/>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临时堆土区采取表土开挖及回填</w:t>
      </w:r>
      <w:r>
        <w:rPr>
          <w:rFonts w:hint="default" w:ascii="Times New Roman" w:hAnsi="Times New Roman" w:eastAsia="仿宋" w:cs="Times New Roman"/>
          <w:color w:val="auto"/>
          <w:spacing w:val="-16"/>
          <w:sz w:val="24"/>
          <w:szCs w:val="24"/>
          <w:highlight w:val="none"/>
        </w:rPr>
        <w:t>、</w:t>
      </w:r>
      <w:r>
        <w:rPr>
          <w:rFonts w:hint="default" w:ascii="Times New Roman" w:hAnsi="Times New Roman" w:eastAsia="仿宋" w:cs="Times New Roman"/>
          <w:color w:val="auto"/>
          <w:sz w:val="24"/>
          <w:szCs w:val="24"/>
          <w:highlight w:val="none"/>
        </w:rPr>
        <w:t>袋装土拦挡</w:t>
      </w:r>
      <w:r>
        <w:rPr>
          <w:rFonts w:hint="default" w:ascii="Times New Roman" w:hAnsi="Times New Roman" w:eastAsia="仿宋" w:cs="Times New Roman"/>
          <w:color w:val="auto"/>
          <w:spacing w:val="-16"/>
          <w:sz w:val="24"/>
          <w:szCs w:val="24"/>
          <w:highlight w:val="none"/>
        </w:rPr>
        <w:t>、</w:t>
      </w:r>
      <w:r>
        <w:rPr>
          <w:rFonts w:hint="default" w:ascii="Times New Roman" w:hAnsi="Times New Roman" w:eastAsia="仿宋" w:cs="Times New Roman"/>
          <w:color w:val="auto"/>
          <w:sz w:val="24"/>
          <w:szCs w:val="24"/>
          <w:highlight w:val="none"/>
        </w:rPr>
        <w:t>防尘网覆盖</w:t>
      </w:r>
      <w:r>
        <w:rPr>
          <w:rFonts w:hint="default" w:ascii="Times New Roman" w:hAnsi="Times New Roman" w:eastAsia="仿宋" w:cs="Times New Roman"/>
          <w:color w:val="auto"/>
          <w:spacing w:val="-15"/>
          <w:sz w:val="24"/>
          <w:szCs w:val="24"/>
          <w:highlight w:val="none"/>
        </w:rPr>
        <w:t>、</w:t>
      </w:r>
      <w:r>
        <w:rPr>
          <w:rFonts w:hint="default" w:ascii="Times New Roman" w:hAnsi="Times New Roman" w:eastAsia="仿宋" w:cs="Times New Roman"/>
          <w:color w:val="auto"/>
          <w:sz w:val="24"/>
          <w:szCs w:val="24"/>
          <w:highlight w:val="none"/>
        </w:rPr>
        <w:t>临时 排水沟</w:t>
      </w:r>
      <w:r>
        <w:rPr>
          <w:rFonts w:hint="default" w:ascii="Times New Roman" w:hAnsi="Times New Roman" w:eastAsia="仿宋" w:cs="Times New Roman"/>
          <w:color w:val="auto"/>
          <w:spacing w:val="-16"/>
          <w:sz w:val="24"/>
          <w:szCs w:val="24"/>
          <w:highlight w:val="none"/>
        </w:rPr>
        <w:t>、</w:t>
      </w:r>
      <w:r>
        <w:rPr>
          <w:rFonts w:hint="default" w:ascii="Times New Roman" w:hAnsi="Times New Roman" w:eastAsia="仿宋" w:cs="Times New Roman"/>
          <w:color w:val="auto"/>
          <w:sz w:val="24"/>
          <w:szCs w:val="24"/>
          <w:highlight w:val="none"/>
        </w:rPr>
        <w:t>临时沉砂池等措施</w:t>
      </w:r>
      <w:r>
        <w:rPr>
          <w:rFonts w:hint="default" w:ascii="Times New Roman" w:hAnsi="Times New Roman" w:eastAsia="仿宋" w:cs="Times New Roman"/>
          <w:color w:val="auto"/>
          <w:spacing w:val="-16"/>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进场道路区采取表土开挖及回填</w:t>
      </w:r>
      <w:r>
        <w:rPr>
          <w:rFonts w:hint="default" w:ascii="Times New Roman" w:hAnsi="Times New Roman" w:eastAsia="仿宋" w:cs="Times New Roman"/>
          <w:color w:val="auto"/>
          <w:spacing w:val="-15"/>
          <w:sz w:val="24"/>
          <w:szCs w:val="24"/>
          <w:highlight w:val="none"/>
        </w:rPr>
        <w:t>、</w:t>
      </w:r>
      <w:r>
        <w:rPr>
          <w:rFonts w:hint="default" w:ascii="Times New Roman" w:hAnsi="Times New Roman" w:eastAsia="仿宋" w:cs="Times New Roman"/>
          <w:color w:val="auto"/>
          <w:sz w:val="24"/>
          <w:szCs w:val="24"/>
          <w:highlight w:val="none"/>
        </w:rPr>
        <w:t>袋装土拦挡</w:t>
      </w:r>
      <w:r>
        <w:rPr>
          <w:rFonts w:hint="default" w:ascii="Times New Roman" w:hAnsi="Times New Roman" w:eastAsia="仿宋" w:cs="Times New Roman"/>
          <w:color w:val="auto"/>
          <w:spacing w:val="-15"/>
          <w:sz w:val="24"/>
          <w:szCs w:val="24"/>
          <w:highlight w:val="none"/>
        </w:rPr>
        <w:t>、</w:t>
      </w:r>
      <w:r>
        <w:rPr>
          <w:rFonts w:hint="default" w:ascii="Times New Roman" w:hAnsi="Times New Roman" w:eastAsia="仿宋" w:cs="Times New Roman"/>
          <w:color w:val="auto"/>
          <w:sz w:val="24"/>
          <w:szCs w:val="24"/>
          <w:highlight w:val="none"/>
        </w:rPr>
        <w:t>防尘网覆盖</w:t>
      </w:r>
      <w:r>
        <w:rPr>
          <w:rFonts w:hint="default" w:ascii="Times New Roman" w:hAnsi="Times New Roman" w:eastAsia="仿宋" w:cs="Times New Roman"/>
          <w:color w:val="auto"/>
          <w:spacing w:val="-21"/>
          <w:sz w:val="24"/>
          <w:szCs w:val="24"/>
          <w:highlight w:val="none"/>
        </w:rPr>
        <w:t>、</w:t>
      </w:r>
      <w:r>
        <w:rPr>
          <w:rFonts w:hint="default" w:ascii="Times New Roman" w:hAnsi="Times New Roman" w:eastAsia="仿宋" w:cs="Times New Roman"/>
          <w:color w:val="auto"/>
          <w:sz w:val="24"/>
          <w:szCs w:val="24"/>
          <w:highlight w:val="none"/>
        </w:rPr>
        <w:t>临时排水沟</w:t>
      </w:r>
      <w:r>
        <w:rPr>
          <w:rFonts w:hint="default" w:ascii="Times New Roman" w:hAnsi="Times New Roman" w:eastAsia="仿宋" w:cs="Times New Roman"/>
          <w:color w:val="auto"/>
          <w:spacing w:val="-20"/>
          <w:sz w:val="24"/>
          <w:szCs w:val="24"/>
          <w:highlight w:val="none"/>
        </w:rPr>
        <w:t>、</w:t>
      </w:r>
      <w:r>
        <w:rPr>
          <w:rFonts w:hint="default" w:ascii="Times New Roman" w:hAnsi="Times New Roman" w:eastAsia="仿宋" w:cs="Times New Roman"/>
          <w:color w:val="auto"/>
          <w:sz w:val="24"/>
          <w:szCs w:val="24"/>
          <w:highlight w:val="none"/>
        </w:rPr>
        <w:t>临时沉砂池等措施</w:t>
      </w:r>
      <w:r>
        <w:rPr>
          <w:rFonts w:hint="default" w:ascii="Times New Roman" w:hAnsi="Times New Roman" w:eastAsia="仿宋" w:cs="Times New Roman"/>
          <w:color w:val="auto"/>
          <w:spacing w:val="-20"/>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3.5.3.1 主体工程区临时措施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主体工程区完成的临时措施工程量为：临时挡土坎2632m、挡土板85块、临时排水沟1786m、挖沉砂池15个、防尘网1316㎡。</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主体工程区水土保持临时措施完成情况表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主体工程区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2632</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挡土板</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块</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85</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1786</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沉砂池</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15</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防尘网</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1316</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3.5.3.2 附属设施区临时措施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附属设施区完成的临时措施工程量为：临时挡土坎235m、临时排水沟118m、挖沉砂池1个、防尘网覆盖390㎡。</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附属设施区水土保持临时措施完成情况表</w:t>
      </w:r>
    </w:p>
    <w:tbl>
      <w:tblPr>
        <w:tblStyle w:val="20"/>
        <w:tblpPr w:leftFromText="180" w:rightFromText="180" w:vertAnchor="text" w:horzAnchor="page" w:tblpX="1817" w:tblpY="72"/>
        <w:tblOverlap w:val="never"/>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附属设施区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235</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118</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沉砂池</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防尘网</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390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3.5.3.3 弃渣回填区临时措施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弃渣回填区完成的临时措施工程量为：临时挡土坎137m、临时排水沟151m。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弃渣回填区水土保持临时措施完成情况表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弃渣回填区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137</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151</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3.5.3.4取土场区临时措施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取土场区完成的临时措施工程量为:临时挡土坎324m、临时排水沟356m。</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取土场区水土保持临时措施完成情况表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取土场区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324</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356</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3.5.3.5施工便道区临时措施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施工便道区完成的临时措施工程量为：临时挡土坎60m、临时排水沟100m、挡土板3块、铺撒碎石子20m³。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施工便道区水土保持临时措施完成情况表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施工便道区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100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挡土板</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块</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铺撒碎石子</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3.5.3.6 施工生产生活区临时措施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施工生产生活区完成的临时措施工程量为：临时挡土坎233m、临时排水沟268m、沉砂池3个、铺撒碎石子131m³、防尘网覆盖1637㎡。</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施工生产生活区水土保持临时措施完成情况表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施工生产生活区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233</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268</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沉砂池</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铺撒碎石子</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131</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防尘网</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1637</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3.5.3.6  临时堆土区临时措施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临时堆土区完成的临时措施工程量为：临时挡土坎239m、临时排水沟75m、沉砂池3个、铺撒碎石子60m³、防尘网覆盖1637㎡。</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jc w:val="center"/>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临时堆土区水土保持临时措施完成情况表</w:t>
      </w:r>
    </w:p>
    <w:tbl>
      <w:tblPr>
        <w:tblStyle w:val="2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704"/>
        <w:gridCol w:w="1704"/>
        <w:gridCol w:w="1704"/>
        <w:gridCol w:w="1705"/>
        <w:gridCol w:w="17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防治分区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措施名称</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单位</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完成工程量</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实施时间</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1" w:hRule="atLeast"/>
        </w:trPr>
        <w:tc>
          <w:tcPr>
            <w:tcW w:w="1704" w:type="dxa"/>
            <w:vMerge w:val="restart"/>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临时堆土区</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临时挡土坎</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239</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临时排水沟</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m</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75</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沉砂池</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个</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3</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铺撒碎石子</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m³</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60</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704" w:type="dxa"/>
            <w:vMerge w:val="continue"/>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防尘网</w:t>
            </w:r>
          </w:p>
        </w:tc>
        <w:tc>
          <w:tcPr>
            <w:tcW w:w="170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1637</w:t>
            </w:r>
          </w:p>
        </w:tc>
        <w:tc>
          <w:tcPr>
            <w:tcW w:w="1705"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szCs w:val="21"/>
                <w:highlight w:val="none"/>
                <w:vertAlign w:val="baseline"/>
                <w:lang w:val="en-US" w:eastAsia="zh-CN"/>
              </w:rPr>
            </w:pPr>
            <w:r>
              <w:rPr>
                <w:rFonts w:hint="default" w:ascii="Times New Roman" w:hAnsi="Times New Roman" w:cs="Times New Roman"/>
                <w:color w:val="auto"/>
                <w:sz w:val="21"/>
                <w:szCs w:val="21"/>
                <w:highlight w:val="none"/>
                <w:vertAlign w:val="baseline"/>
                <w:lang w:val="en-US" w:eastAsia="zh-CN"/>
              </w:rPr>
              <w:t>2016.10~2017.6</w:t>
            </w:r>
          </w:p>
        </w:tc>
      </w:tr>
    </w:tbl>
    <w:p>
      <w:pPr>
        <w:pStyle w:val="3"/>
        <w:bidi w:val="0"/>
        <w:outlineLvl w:val="0"/>
        <w:rPr>
          <w:rFonts w:hint="default" w:ascii="Times New Roman" w:hAnsi="Times New Roman" w:cs="Times New Roman"/>
          <w:color w:val="auto"/>
          <w:highlight w:val="none"/>
          <w:lang w:val="en-US" w:eastAsia="zh-CN"/>
        </w:rPr>
      </w:pPr>
      <w:bookmarkStart w:id="411" w:name="_Toc2987"/>
      <w:r>
        <w:rPr>
          <w:rFonts w:hint="default" w:ascii="Times New Roman" w:hAnsi="Times New Roman" w:cs="Times New Roman"/>
          <w:color w:val="auto"/>
          <w:highlight w:val="none"/>
          <w:lang w:val="en-US" w:eastAsia="zh-CN"/>
        </w:rPr>
        <w:t>3.6 水土保持投资完成情况</w:t>
      </w:r>
      <w:bookmarkEnd w:id="411"/>
    </w:p>
    <w:p>
      <w:pPr>
        <w:keepNext w:val="0"/>
        <w:keepLines w:val="0"/>
        <w:pageBreakBefore w:val="0"/>
        <w:widowControl w:val="0"/>
        <w:kinsoku/>
        <w:wordWrap/>
        <w:overflowPunct/>
        <w:topLinePunct w:val="0"/>
        <w:autoSpaceDE/>
        <w:autoSpaceDN/>
        <w:bidi w:val="0"/>
        <w:adjustRightInd/>
        <w:snapToGrid/>
        <w:spacing w:line="360" w:lineRule="auto"/>
        <w:textAlignment w:val="auto"/>
        <w:outlineLvl w:val="1"/>
        <w:rPr>
          <w:rFonts w:hint="default" w:ascii="Times New Roman" w:hAnsi="Times New Roman" w:cs="Times New Roman"/>
          <w:color w:val="auto"/>
          <w:highlight w:val="none"/>
          <w:lang w:val="en-US" w:eastAsia="zh-CN"/>
        </w:rPr>
      </w:pPr>
      <w:bookmarkStart w:id="412" w:name="_Toc16186"/>
      <w:bookmarkStart w:id="413" w:name="_Toc16192"/>
      <w:bookmarkStart w:id="414" w:name="_Toc12022"/>
      <w:r>
        <w:rPr>
          <w:rFonts w:hint="default" w:ascii="Times New Roman" w:hAnsi="Times New Roman" w:cs="Times New Roman"/>
          <w:color w:val="auto"/>
          <w:highlight w:val="none"/>
          <w:lang w:val="en-US" w:eastAsia="zh-CN"/>
        </w:rPr>
        <w:t>3.6.1 水土保持投资估算</w:t>
      </w:r>
      <w:bookmarkEnd w:id="412"/>
      <w:bookmarkEnd w:id="413"/>
      <w:bookmarkEnd w:id="414"/>
    </w:p>
    <w:p>
      <w:pPr>
        <w:keepNext w:val="0"/>
        <w:keepLines w:val="0"/>
        <w:pageBreakBefore w:val="0"/>
        <w:widowControl w:val="0"/>
        <w:kinsoku/>
        <w:wordWrap/>
        <w:overflowPunct/>
        <w:topLinePunct w:val="0"/>
        <w:autoSpaceDE/>
        <w:autoSpaceDN/>
        <w:bidi w:val="0"/>
        <w:adjustRightInd/>
        <w:snapToGrid/>
        <w:spacing w:line="360" w:lineRule="auto"/>
        <w:ind w:firstLine="468" w:firstLineChars="200"/>
        <w:textAlignment w:val="auto"/>
        <w:rPr>
          <w:rFonts w:hint="default" w:ascii="Times New Roman" w:hAnsi="Times New Roman" w:cs="Times New Roman"/>
          <w:color w:val="auto"/>
          <w:sz w:val="24"/>
          <w:szCs w:val="24"/>
          <w:highlight w:val="none"/>
          <w:lang w:val="en-US" w:eastAsia="zh-CN"/>
        </w:rPr>
      </w:pPr>
      <w:r>
        <w:rPr>
          <w:rFonts w:hint="default" w:ascii="Times New Roman" w:hAnsi="Times New Roman" w:eastAsia="仿宋" w:cs="Times New Roman"/>
          <w:color w:val="auto"/>
          <w:spacing w:val="-3"/>
          <w:sz w:val="24"/>
          <w:szCs w:val="24"/>
          <w:highlight w:val="none"/>
        </w:rPr>
        <w:t>根据衡水许</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Times New Roman" w:cs="Times New Roman"/>
          <w:color w:val="auto"/>
          <w:spacing w:val="-1"/>
          <w:sz w:val="24"/>
          <w:szCs w:val="24"/>
          <w:highlight w:val="none"/>
        </w:rPr>
        <w:t>201</w:t>
      </w:r>
      <w:r>
        <w:rPr>
          <w:rFonts w:hint="default" w:ascii="Times New Roman" w:hAnsi="Times New Roman" w:eastAsia="宋体" w:cs="Times New Roman"/>
          <w:color w:val="auto"/>
          <w:spacing w:val="-1"/>
          <w:sz w:val="24"/>
          <w:szCs w:val="24"/>
          <w:highlight w:val="none"/>
          <w:lang w:val="en-US" w:eastAsia="zh-CN"/>
        </w:rPr>
        <w:t>6</w:t>
      </w:r>
      <w:r>
        <w:rPr>
          <w:rFonts w:hint="default" w:ascii="Times New Roman" w:hAnsi="Times New Roman" w:eastAsia="仿宋" w:cs="Times New Roman"/>
          <w:color w:val="auto"/>
          <w:spacing w:val="-2"/>
          <w:sz w:val="24"/>
          <w:szCs w:val="24"/>
          <w:highlight w:val="none"/>
        </w:rPr>
        <w:t>〕</w:t>
      </w:r>
      <w:r>
        <w:rPr>
          <w:rFonts w:hint="default" w:ascii="Times New Roman" w:hAnsi="Times New Roman" w:cs="Times New Roman"/>
          <w:color w:val="auto"/>
          <w:spacing w:val="-2"/>
          <w:sz w:val="24"/>
          <w:szCs w:val="24"/>
          <w:highlight w:val="none"/>
          <w:lang w:val="en-US" w:eastAsia="zh-CN"/>
        </w:rPr>
        <w:t>3</w:t>
      </w:r>
      <w:r>
        <w:rPr>
          <w:rFonts w:hint="default" w:ascii="Times New Roman" w:hAnsi="Times New Roman" w:eastAsia="Times New Roman" w:cs="Times New Roman"/>
          <w:color w:val="auto"/>
          <w:spacing w:val="-1"/>
          <w:sz w:val="24"/>
          <w:szCs w:val="24"/>
          <w:highlight w:val="none"/>
        </w:rPr>
        <w:t>4</w:t>
      </w:r>
      <w:r>
        <w:rPr>
          <w:rFonts w:hint="default" w:ascii="Times New Roman" w:hAnsi="Times New Roman" w:eastAsia="Times New Roman" w:cs="Times New Roman"/>
          <w:color w:val="auto"/>
          <w:spacing w:val="-50"/>
          <w:sz w:val="24"/>
          <w:szCs w:val="24"/>
          <w:highlight w:val="none"/>
        </w:rPr>
        <w:t xml:space="preserve"> </w:t>
      </w:r>
      <w:r>
        <w:rPr>
          <w:rFonts w:hint="default" w:ascii="Times New Roman" w:hAnsi="Times New Roman" w:eastAsia="仿宋" w:cs="Times New Roman"/>
          <w:color w:val="auto"/>
          <w:spacing w:val="-2"/>
          <w:sz w:val="24"/>
          <w:szCs w:val="24"/>
          <w:highlight w:val="none"/>
        </w:rPr>
        <w:t>号文《</w:t>
      </w:r>
      <w:r>
        <w:rPr>
          <w:rFonts w:hint="default" w:ascii="Times New Roman" w:hAnsi="Times New Roman" w:cs="Times New Roman"/>
          <w:color w:val="auto"/>
          <w:spacing w:val="-2"/>
          <w:sz w:val="24"/>
          <w:szCs w:val="24"/>
          <w:highlight w:val="none"/>
          <w:lang w:val="en-US" w:eastAsia="zh-CN"/>
        </w:rPr>
        <w:t>华天路新建工程</w:t>
      </w:r>
      <w:r>
        <w:rPr>
          <w:rFonts w:hint="default" w:ascii="Times New Roman" w:hAnsi="Times New Roman" w:eastAsia="仿宋" w:cs="Times New Roman"/>
          <w:color w:val="auto"/>
          <w:spacing w:val="-2"/>
          <w:sz w:val="24"/>
          <w:szCs w:val="24"/>
          <w:highlight w:val="none"/>
        </w:rPr>
        <w:t>项目水土保持方案的批复》以及《</w:t>
      </w:r>
      <w:r>
        <w:rPr>
          <w:rFonts w:hint="default" w:ascii="Times New Roman" w:hAnsi="Times New Roman" w:cs="Times New Roman"/>
          <w:color w:val="auto"/>
          <w:spacing w:val="-2"/>
          <w:sz w:val="24"/>
          <w:szCs w:val="24"/>
          <w:highlight w:val="none"/>
          <w:lang w:val="en-US" w:eastAsia="zh-CN"/>
        </w:rPr>
        <w:t>华天路新建工程</w:t>
      </w:r>
      <w:r>
        <w:rPr>
          <w:rFonts w:hint="default" w:ascii="Times New Roman" w:hAnsi="Times New Roman" w:eastAsia="仿宋" w:cs="Times New Roman"/>
          <w:color w:val="auto"/>
          <w:sz w:val="24"/>
          <w:szCs w:val="24"/>
          <w:highlight w:val="none"/>
        </w:rPr>
        <w:t>项目水土保持方案报告书</w:t>
      </w:r>
      <w:r>
        <w:rPr>
          <w:rFonts w:hint="default" w:ascii="Times New Roman" w:hAnsi="Times New Roman" w:eastAsia="Times New Roman" w:cs="Times New Roman"/>
          <w:color w:val="auto"/>
          <w:sz w:val="24"/>
          <w:szCs w:val="24"/>
          <w:highlight w:val="none"/>
        </w:rPr>
        <w:t>(</w:t>
      </w:r>
      <w:r>
        <w:rPr>
          <w:rFonts w:hint="default" w:ascii="Times New Roman" w:hAnsi="Times New Roman" w:eastAsia="仿宋" w:cs="Times New Roman"/>
          <w:color w:val="auto"/>
          <w:sz w:val="24"/>
          <w:szCs w:val="24"/>
          <w:highlight w:val="none"/>
        </w:rPr>
        <w:t>报批</w:t>
      </w:r>
      <w:r>
        <w:rPr>
          <w:rFonts w:hint="default" w:ascii="Times New Roman" w:hAnsi="Times New Roman" w:eastAsia="Times New Roman" w:cs="Times New Roman"/>
          <w:color w:val="auto"/>
          <w:sz w:val="24"/>
          <w:szCs w:val="24"/>
          <w:highlight w:val="none"/>
        </w:rPr>
        <w:t>)</w:t>
      </w:r>
      <w:r>
        <w:rPr>
          <w:rFonts w:hint="default" w:ascii="Times New Roman" w:hAnsi="Times New Roman" w:eastAsia="仿宋" w:cs="Times New Roman"/>
          <w:color w:val="auto"/>
          <w:sz w:val="24"/>
          <w:szCs w:val="24"/>
          <w:highlight w:val="none"/>
        </w:rPr>
        <w:t>》</w:t>
      </w:r>
      <w:r>
        <w:rPr>
          <w:rFonts w:hint="default" w:ascii="Times New Roman" w:hAnsi="Times New Roman" w:cs="Times New Roman"/>
          <w:color w:val="auto"/>
          <w:sz w:val="24"/>
          <w:szCs w:val="24"/>
          <w:highlight w:val="none"/>
          <w:lang w:eastAsia="zh-CN"/>
        </w:rPr>
        <w:t>，</w:t>
      </w:r>
      <w:r>
        <w:rPr>
          <w:rFonts w:hint="default" w:ascii="Times New Roman" w:hAnsi="Times New Roman" w:cs="Times New Roman"/>
          <w:color w:val="auto"/>
          <w:sz w:val="24"/>
          <w:szCs w:val="24"/>
          <w:highlight w:val="none"/>
          <w:lang w:val="en-US" w:eastAsia="zh-CN"/>
        </w:rPr>
        <w:t xml:space="preserve"> 本项目水土保持总投资763.46万元，其中主体工程已有投资574.46万元，新增水土保持投资189万元。在新增投资中，水土保持措施静态投资175.90万元，水土保持措施7.82万元。在水土保持静态投资中，工程措施费为48.27万元，植物措施费为58.80万元，临时工程费用为50.44万元，独立费用为15.94万元，基本预备费为5.28万元。</w:t>
      </w:r>
    </w:p>
    <w:p>
      <w:pPr>
        <w:spacing w:line="215" w:lineRule="auto"/>
        <w:ind w:firstLine="2119"/>
        <w:outlineLvl w:val="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 xml:space="preserve"> </w:t>
      </w:r>
      <w:bookmarkStart w:id="415" w:name="_Toc20932"/>
      <w:bookmarkStart w:id="416" w:name="_Toc28591"/>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水土保持投资估算总表</w:t>
      </w:r>
      <w:r>
        <w:rPr>
          <w:rFonts w:hint="default" w:ascii="Times New Roman" w:hAnsi="Times New Roman" w:eastAsia="仿宋" w:cs="Times New Roman"/>
          <w:color w:val="auto"/>
          <w:sz w:val="21"/>
          <w:szCs w:val="21"/>
          <w:highlight w:val="none"/>
        </w:rPr>
        <w:t xml:space="preserve">        </w:t>
      </w: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单位</w:t>
      </w:r>
      <w:r>
        <w:rPr>
          <w:rFonts w:hint="default" w:ascii="Times New Roman" w:hAnsi="Times New Roman" w:eastAsia="仿宋" w:cs="Times New Roman"/>
          <w:color w:val="auto"/>
          <w:spacing w:val="-38"/>
          <w:sz w:val="21"/>
          <w:szCs w:val="21"/>
          <w:highlight w:val="none"/>
          <w14:textOutline w14:w="2667" w14:cap="flat" w14:cmpd="sng">
            <w14:solidFill>
              <w14:srgbClr w14:val="000000"/>
            </w14:solidFill>
            <w14:prstDash w14:val="solid"/>
            <w14:miter w14:val="0"/>
          </w14:textOutline>
        </w:rPr>
        <w:t>：</w:t>
      </w: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万元</w:t>
      </w:r>
      <w:bookmarkEnd w:id="415"/>
      <w:bookmarkEnd w:id="416"/>
    </w:p>
    <w:p>
      <w:pPr>
        <w:spacing w:line="33" w:lineRule="auto"/>
        <w:rPr>
          <w:rFonts w:hint="default" w:ascii="Times New Roman" w:hAnsi="Times New Roman" w:cs="Times New Roman"/>
          <w:color w:val="auto"/>
          <w:sz w:val="2"/>
          <w:highlight w:val="none"/>
        </w:rPr>
      </w:pPr>
    </w:p>
    <w:tbl>
      <w:tblPr>
        <w:tblStyle w:val="29"/>
        <w:tblW w:w="9074" w:type="dxa"/>
        <w:tblInd w:w="27"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554"/>
        <w:gridCol w:w="3103"/>
        <w:gridCol w:w="1107"/>
        <w:gridCol w:w="1092"/>
        <w:gridCol w:w="1005"/>
        <w:gridCol w:w="1053"/>
        <w:gridCol w:w="1160"/>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554" w:type="dxa"/>
            <w:vMerge w:val="restart"/>
            <w:tcBorders>
              <w:bottom w:val="nil"/>
            </w:tcBorders>
            <w:vAlign w:val="top"/>
          </w:tcPr>
          <w:p>
            <w:pPr>
              <w:spacing w:before="187" w:line="217" w:lineRule="auto"/>
              <w:ind w:firstLine="71"/>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序号</w:t>
            </w:r>
          </w:p>
        </w:tc>
        <w:tc>
          <w:tcPr>
            <w:tcW w:w="3103" w:type="dxa"/>
            <w:vMerge w:val="restart"/>
            <w:tcBorders>
              <w:bottom w:val="nil"/>
            </w:tcBorders>
            <w:vAlign w:val="top"/>
          </w:tcPr>
          <w:p>
            <w:pPr>
              <w:spacing w:before="187" w:line="216" w:lineRule="auto"/>
              <w:ind w:firstLine="824"/>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工程或费用</w:t>
            </w:r>
            <w:r>
              <w:rPr>
                <w:rFonts w:hint="default" w:ascii="Times New Roman" w:hAnsi="Times New Roman" w:eastAsia="仿宋" w:cs="Times New Roman"/>
                <w:color w:val="auto"/>
                <w:spacing w:val="-1"/>
                <w:sz w:val="21"/>
                <w:szCs w:val="21"/>
                <w:highlight w:val="none"/>
              </w:rPr>
              <w:t>名称</w:t>
            </w:r>
          </w:p>
        </w:tc>
        <w:tc>
          <w:tcPr>
            <w:tcW w:w="1107" w:type="dxa"/>
            <w:vMerge w:val="restart"/>
            <w:tcBorders>
              <w:bottom w:val="nil"/>
            </w:tcBorders>
            <w:vAlign w:val="top"/>
          </w:tcPr>
          <w:p>
            <w:pPr>
              <w:spacing w:before="52" w:line="239" w:lineRule="auto"/>
              <w:ind w:firstLine="346"/>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建安</w:t>
            </w:r>
          </w:p>
          <w:p>
            <w:pPr>
              <w:spacing w:line="218" w:lineRule="auto"/>
              <w:ind w:firstLine="247"/>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工程费</w:t>
            </w:r>
          </w:p>
        </w:tc>
        <w:tc>
          <w:tcPr>
            <w:tcW w:w="2097" w:type="dxa"/>
            <w:gridSpan w:val="2"/>
            <w:vAlign w:val="top"/>
          </w:tcPr>
          <w:p>
            <w:pPr>
              <w:spacing w:before="40" w:line="216" w:lineRule="auto"/>
              <w:ind w:firstLine="524"/>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rPr>
              <w:t>植物措</w:t>
            </w:r>
            <w:r>
              <w:rPr>
                <w:rFonts w:hint="default" w:ascii="Times New Roman" w:hAnsi="Times New Roman" w:eastAsia="仿宋" w:cs="Times New Roman"/>
                <w:color w:val="auto"/>
                <w:sz w:val="21"/>
                <w:szCs w:val="21"/>
                <w:highlight w:val="none"/>
              </w:rPr>
              <w:t>施费</w:t>
            </w:r>
          </w:p>
        </w:tc>
        <w:tc>
          <w:tcPr>
            <w:tcW w:w="1053" w:type="dxa"/>
            <w:vMerge w:val="restart"/>
            <w:tcBorders>
              <w:bottom w:val="nil"/>
            </w:tcBorders>
            <w:vAlign w:val="top"/>
          </w:tcPr>
          <w:p>
            <w:pPr>
              <w:spacing w:before="186" w:line="219" w:lineRule="auto"/>
              <w:ind w:firstLine="121"/>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4"/>
                <w:sz w:val="21"/>
                <w:szCs w:val="21"/>
                <w:highlight w:val="none"/>
              </w:rPr>
              <w:t>独</w:t>
            </w:r>
            <w:r>
              <w:rPr>
                <w:rFonts w:hint="default" w:ascii="Times New Roman" w:hAnsi="Times New Roman" w:eastAsia="仿宋" w:cs="Times New Roman"/>
                <w:color w:val="auto"/>
                <w:spacing w:val="-3"/>
                <w:sz w:val="21"/>
                <w:szCs w:val="21"/>
                <w:highlight w:val="none"/>
              </w:rPr>
              <w:t>立费用</w:t>
            </w:r>
          </w:p>
        </w:tc>
        <w:tc>
          <w:tcPr>
            <w:tcW w:w="1160" w:type="dxa"/>
            <w:vMerge w:val="restart"/>
            <w:tcBorders>
              <w:bottom w:val="nil"/>
            </w:tcBorders>
            <w:vAlign w:val="top"/>
          </w:tcPr>
          <w:p>
            <w:pPr>
              <w:spacing w:before="187" w:line="217" w:lineRule="auto"/>
              <w:ind w:firstLine="325"/>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rPr>
              <w:t xml:space="preserve">合 </w:t>
            </w:r>
            <w:r>
              <w:rPr>
                <w:rFonts w:hint="default" w:ascii="Times New Roman" w:hAnsi="Times New Roman" w:eastAsia="仿宋" w:cs="Times New Roman"/>
                <w:color w:val="auto"/>
                <w:sz w:val="21"/>
                <w:szCs w:val="21"/>
                <w:highlight w:val="none"/>
              </w:rPr>
              <w:t>计</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Merge w:val="continue"/>
            <w:tcBorders>
              <w:top w:val="nil"/>
            </w:tcBorders>
            <w:vAlign w:val="top"/>
          </w:tcPr>
          <w:p>
            <w:pPr>
              <w:rPr>
                <w:rFonts w:hint="default" w:ascii="Times New Roman" w:hAnsi="Times New Roman" w:cs="Times New Roman"/>
                <w:color w:val="auto"/>
                <w:sz w:val="21"/>
                <w:highlight w:val="none"/>
              </w:rPr>
            </w:pPr>
          </w:p>
        </w:tc>
        <w:tc>
          <w:tcPr>
            <w:tcW w:w="3103" w:type="dxa"/>
            <w:vMerge w:val="continue"/>
            <w:tcBorders>
              <w:top w:val="nil"/>
            </w:tcBorders>
            <w:vAlign w:val="top"/>
          </w:tcPr>
          <w:p>
            <w:pPr>
              <w:rPr>
                <w:rFonts w:hint="default" w:ascii="Times New Roman" w:hAnsi="Times New Roman" w:cs="Times New Roman"/>
                <w:color w:val="auto"/>
                <w:sz w:val="21"/>
                <w:highlight w:val="none"/>
              </w:rPr>
            </w:pPr>
          </w:p>
        </w:tc>
        <w:tc>
          <w:tcPr>
            <w:tcW w:w="1107" w:type="dxa"/>
            <w:vMerge w:val="continue"/>
            <w:tcBorders>
              <w:top w:val="nil"/>
            </w:tcBorders>
            <w:vAlign w:val="top"/>
          </w:tcPr>
          <w:p>
            <w:pPr>
              <w:rPr>
                <w:rFonts w:hint="default" w:ascii="Times New Roman" w:hAnsi="Times New Roman" w:cs="Times New Roman"/>
                <w:color w:val="auto"/>
                <w:sz w:val="21"/>
                <w:highlight w:val="none"/>
              </w:rPr>
            </w:pPr>
          </w:p>
        </w:tc>
        <w:tc>
          <w:tcPr>
            <w:tcW w:w="1092" w:type="dxa"/>
            <w:vAlign w:val="top"/>
          </w:tcPr>
          <w:p>
            <w:pPr>
              <w:spacing w:before="37" w:line="215" w:lineRule="auto"/>
              <w:ind w:firstLine="234"/>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栽植</w:t>
            </w:r>
            <w:r>
              <w:rPr>
                <w:rFonts w:hint="default" w:ascii="Times New Roman" w:hAnsi="Times New Roman" w:eastAsia="仿宋" w:cs="Times New Roman"/>
                <w:color w:val="auto"/>
                <w:spacing w:val="-1"/>
                <w:sz w:val="21"/>
                <w:szCs w:val="21"/>
                <w:highlight w:val="none"/>
              </w:rPr>
              <w:t>费</w:t>
            </w:r>
          </w:p>
        </w:tc>
        <w:tc>
          <w:tcPr>
            <w:tcW w:w="1005" w:type="dxa"/>
            <w:vAlign w:val="top"/>
          </w:tcPr>
          <w:p>
            <w:pPr>
              <w:spacing w:before="36" w:line="217" w:lineRule="auto"/>
              <w:ind w:firstLine="199"/>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苗木费</w:t>
            </w:r>
          </w:p>
        </w:tc>
        <w:tc>
          <w:tcPr>
            <w:tcW w:w="1053" w:type="dxa"/>
            <w:vMerge w:val="continue"/>
            <w:tcBorders>
              <w:top w:val="nil"/>
            </w:tcBorders>
            <w:vAlign w:val="top"/>
          </w:tcPr>
          <w:p>
            <w:pPr>
              <w:rPr>
                <w:rFonts w:hint="default" w:ascii="Times New Roman" w:hAnsi="Times New Roman" w:cs="Times New Roman"/>
                <w:color w:val="auto"/>
                <w:sz w:val="21"/>
                <w:highlight w:val="none"/>
              </w:rPr>
            </w:pPr>
          </w:p>
        </w:tc>
        <w:tc>
          <w:tcPr>
            <w:tcW w:w="1160" w:type="dxa"/>
            <w:vMerge w:val="continue"/>
            <w:tcBorders>
              <w:top w:val="nil"/>
            </w:tcBorders>
            <w:vAlign w:val="top"/>
          </w:tcPr>
          <w:p>
            <w:pPr>
              <w:rPr>
                <w:rFonts w:hint="default" w:ascii="Times New Roman" w:hAnsi="Times New Roman" w:cs="Times New Roman"/>
                <w:color w:val="auto"/>
                <w:sz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356" w:hRule="atLeast"/>
        </w:trPr>
        <w:tc>
          <w:tcPr>
            <w:tcW w:w="554" w:type="dxa"/>
            <w:vAlign w:val="top"/>
          </w:tcPr>
          <w:p>
            <w:pPr>
              <w:spacing w:before="67" w:line="181" w:lineRule="auto"/>
              <w:ind w:firstLine="245"/>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Ⅰ</w:t>
            </w:r>
          </w:p>
        </w:tc>
        <w:tc>
          <w:tcPr>
            <w:tcW w:w="3103" w:type="dxa"/>
            <w:vAlign w:val="top"/>
          </w:tcPr>
          <w:p>
            <w:pPr>
              <w:spacing w:before="37" w:line="217" w:lineRule="auto"/>
              <w:ind w:firstLine="616"/>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14:textOutline w14:w="2667" w14:cap="flat" w14:cmpd="sng">
                  <w14:solidFill>
                    <w14:srgbClr w14:val="000000"/>
                  </w14:solidFill>
                  <w14:prstDash w14:val="solid"/>
                  <w14:miter w14:val="0"/>
                </w14:textOutline>
              </w:rPr>
              <w:t>第一</w:t>
            </w: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部分</w:t>
            </w:r>
            <w:r>
              <w:rPr>
                <w:rFonts w:hint="default" w:ascii="Times New Roman" w:hAnsi="Times New Roman" w:eastAsia="仿宋" w:cs="Times New Roman"/>
                <w:color w:val="auto"/>
                <w:spacing w:val="-4"/>
                <w:sz w:val="21"/>
                <w:szCs w:val="21"/>
                <w:highlight w:val="none"/>
              </w:rPr>
              <w:t xml:space="preserve">  </w:t>
            </w: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工程措施</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jc w:val="center"/>
              <w:rPr>
                <w:rFonts w:hint="default" w:ascii="Times New Roman" w:hAnsi="Times New Roman" w:eastAsia="仿宋" w:cs="Times New Roman"/>
                <w:color w:val="auto"/>
                <w:sz w:val="21"/>
                <w:highlight w:val="none"/>
                <w:lang w:val="en-US" w:eastAsia="zh-CN"/>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3" w:line="186" w:lineRule="auto"/>
              <w:ind w:firstLine="281"/>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574.46</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125" w:line="148" w:lineRule="exact"/>
              <w:ind w:firstLine="190"/>
              <w:rPr>
                <w:rFonts w:hint="default" w:ascii="Times New Roman" w:hAnsi="Times New Roman" w:eastAsia="仿宋" w:cs="Times New Roman"/>
                <w:color w:val="auto"/>
                <w:sz w:val="9"/>
                <w:szCs w:val="9"/>
                <w:highlight w:val="none"/>
              </w:rPr>
            </w:pPr>
            <w:r>
              <w:rPr>
                <w:rFonts w:hint="default" w:ascii="Times New Roman" w:hAnsi="Times New Roman" w:eastAsia="仿宋" w:cs="Times New Roman"/>
                <w:color w:val="auto"/>
                <w:spacing w:val="98"/>
                <w:position w:val="1"/>
                <w:sz w:val="9"/>
                <w:szCs w:val="9"/>
                <w:highlight w:val="none"/>
                <w14:textOutline w14:w="2667" w14:cap="flat" w14:cmpd="sng">
                  <w14:solidFill>
                    <w14:srgbClr w14:val="000000"/>
                  </w14:solidFill>
                  <w14:prstDash w14:val="solid"/>
                  <w14:miter w14:val="0"/>
                </w14:textOutline>
              </w:rPr>
              <w:t>一</w:t>
            </w:r>
          </w:p>
        </w:tc>
        <w:tc>
          <w:tcPr>
            <w:tcW w:w="3103" w:type="dxa"/>
            <w:vAlign w:val="top"/>
          </w:tcPr>
          <w:p>
            <w:pPr>
              <w:spacing w:before="37" w:line="217" w:lineRule="auto"/>
              <w:ind w:firstLine="1141"/>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14:textOutline w14:w="2667" w14:cap="flat" w14:cmpd="sng">
                  <w14:solidFill>
                    <w14:srgbClr w14:val="000000"/>
                  </w14:solidFill>
                  <w14:prstDash w14:val="solid"/>
                  <w14:miter w14:val="0"/>
                </w14:textOutline>
              </w:rPr>
              <w:t>主体已</w:t>
            </w:r>
            <w:r>
              <w:rPr>
                <w:rFonts w:hint="default" w:ascii="Times New Roman" w:hAnsi="Times New Roman" w:eastAsia="仿宋" w:cs="Times New Roman"/>
                <w:color w:val="auto"/>
                <w:spacing w:val="-2"/>
                <w:sz w:val="21"/>
                <w:szCs w:val="21"/>
                <w:highlight w:val="none"/>
                <w14:textOutline w14:w="2667" w14:cap="flat" w14:cmpd="sng">
                  <w14:solidFill>
                    <w14:srgbClr w14:val="000000"/>
                  </w14:solidFill>
                  <w14:prstDash w14:val="solid"/>
                  <w14:miter w14:val="0"/>
                </w14:textOutline>
              </w:rPr>
              <w:t>有</w:t>
            </w:r>
          </w:p>
        </w:tc>
        <w:tc>
          <w:tcPr>
            <w:tcW w:w="1107" w:type="dxa"/>
            <w:vAlign w:val="top"/>
          </w:tcPr>
          <w:p>
            <w:pPr>
              <w:spacing w:before="63" w:line="186" w:lineRule="auto"/>
              <w:ind w:firstLine="252"/>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3" w:line="186" w:lineRule="auto"/>
              <w:ind w:firstLine="281"/>
              <w:rPr>
                <w:rFonts w:hint="default" w:ascii="Times New Roman" w:hAnsi="Times New Roman" w:eastAsia="仿宋" w:cs="Times New Roman"/>
                <w:color w:val="auto"/>
                <w:sz w:val="21"/>
                <w:szCs w:val="21"/>
                <w:highlight w:val="none"/>
                <w:lang w:val="en-US" w:eastAsia="zh-CN"/>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54" w:type="dxa"/>
            <w:vAlign w:val="top"/>
          </w:tcPr>
          <w:p>
            <w:pPr>
              <w:spacing w:before="63" w:line="188" w:lineRule="auto"/>
              <w:ind w:firstLine="243"/>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1</w:t>
            </w:r>
          </w:p>
        </w:tc>
        <w:tc>
          <w:tcPr>
            <w:tcW w:w="3103" w:type="dxa"/>
            <w:vAlign w:val="top"/>
          </w:tcPr>
          <w:p>
            <w:pPr>
              <w:spacing w:before="37" w:line="217" w:lineRule="auto"/>
              <w:ind w:firstLine="1039"/>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主体工程区</w:t>
            </w:r>
          </w:p>
        </w:tc>
        <w:tc>
          <w:tcPr>
            <w:tcW w:w="1107" w:type="dxa"/>
            <w:vAlign w:val="top"/>
          </w:tcPr>
          <w:p>
            <w:pPr>
              <w:spacing w:before="63" w:line="186" w:lineRule="auto"/>
              <w:ind w:firstLine="304"/>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3" w:line="186" w:lineRule="auto"/>
              <w:ind w:firstLine="333"/>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64" w:line="188" w:lineRule="auto"/>
              <w:ind w:firstLine="23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2</w:t>
            </w:r>
          </w:p>
        </w:tc>
        <w:tc>
          <w:tcPr>
            <w:tcW w:w="3103" w:type="dxa"/>
            <w:vAlign w:val="top"/>
          </w:tcPr>
          <w:p>
            <w:pPr>
              <w:spacing w:before="38" w:line="218" w:lineRule="auto"/>
              <w:ind w:firstLine="103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进场道</w:t>
            </w:r>
            <w:r>
              <w:rPr>
                <w:rFonts w:hint="default" w:ascii="Times New Roman" w:hAnsi="Times New Roman" w:eastAsia="仿宋" w:cs="Times New Roman"/>
                <w:color w:val="auto"/>
                <w:spacing w:val="-1"/>
                <w:sz w:val="21"/>
                <w:szCs w:val="21"/>
                <w:highlight w:val="none"/>
              </w:rPr>
              <w:t>路区</w:t>
            </w:r>
          </w:p>
        </w:tc>
        <w:tc>
          <w:tcPr>
            <w:tcW w:w="1107" w:type="dxa"/>
            <w:vAlign w:val="top"/>
          </w:tcPr>
          <w:p>
            <w:pPr>
              <w:spacing w:before="64" w:line="186" w:lineRule="auto"/>
              <w:ind w:firstLine="311"/>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4" w:line="186" w:lineRule="auto"/>
              <w:ind w:firstLine="340"/>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84" w:line="180" w:lineRule="auto"/>
              <w:ind w:firstLine="18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二</w:t>
            </w:r>
          </w:p>
        </w:tc>
        <w:tc>
          <w:tcPr>
            <w:tcW w:w="3103" w:type="dxa"/>
            <w:vAlign w:val="top"/>
          </w:tcPr>
          <w:p>
            <w:pPr>
              <w:spacing w:before="38" w:line="217" w:lineRule="auto"/>
              <w:ind w:firstLine="1136"/>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14:textOutline w14:w="2667" w14:cap="flat" w14:cmpd="sng">
                  <w14:solidFill>
                    <w14:srgbClr w14:val="000000"/>
                  </w14:solidFill>
                  <w14:prstDash w14:val="solid"/>
                  <w14:miter w14:val="0"/>
                </w14:textOutline>
              </w:rPr>
              <w:t>方案新</w:t>
            </w:r>
            <w:r>
              <w:rPr>
                <w:rFonts w:hint="default" w:ascii="Times New Roman" w:hAnsi="Times New Roman" w:eastAsia="仿宋" w:cs="Times New Roman"/>
                <w:color w:val="auto"/>
                <w:spacing w:val="-1"/>
                <w:sz w:val="21"/>
                <w:szCs w:val="21"/>
                <w:highlight w:val="none"/>
                <w14:textOutline w14:w="2667" w14:cap="flat" w14:cmpd="sng">
                  <w14:solidFill>
                    <w14:srgbClr w14:val="000000"/>
                  </w14:solidFill>
                  <w14:prstDash w14:val="solid"/>
                  <w14:miter w14:val="0"/>
                </w14:textOutline>
              </w:rPr>
              <w:t>增</w:t>
            </w:r>
          </w:p>
        </w:tc>
        <w:tc>
          <w:tcPr>
            <w:tcW w:w="1107" w:type="dxa"/>
            <w:vAlign w:val="top"/>
          </w:tcPr>
          <w:p>
            <w:pPr>
              <w:spacing w:before="64" w:line="186" w:lineRule="auto"/>
              <w:ind w:firstLine="359"/>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4" w:line="186" w:lineRule="auto"/>
              <w:ind w:firstLine="388"/>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64" w:line="188" w:lineRule="auto"/>
              <w:ind w:firstLine="243"/>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1</w:t>
            </w:r>
          </w:p>
        </w:tc>
        <w:tc>
          <w:tcPr>
            <w:tcW w:w="3103" w:type="dxa"/>
            <w:vAlign w:val="top"/>
          </w:tcPr>
          <w:p>
            <w:pPr>
              <w:spacing w:before="38" w:line="218" w:lineRule="auto"/>
              <w:ind w:firstLine="103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进场</w:t>
            </w:r>
            <w:r>
              <w:rPr>
                <w:rFonts w:hint="default" w:ascii="Times New Roman" w:hAnsi="Times New Roman" w:eastAsia="仿宋" w:cs="Times New Roman"/>
                <w:color w:val="auto"/>
                <w:spacing w:val="-1"/>
                <w:sz w:val="21"/>
                <w:szCs w:val="21"/>
                <w:highlight w:val="none"/>
              </w:rPr>
              <w:t>道路区</w:t>
            </w:r>
          </w:p>
        </w:tc>
        <w:tc>
          <w:tcPr>
            <w:tcW w:w="1107" w:type="dxa"/>
            <w:vAlign w:val="top"/>
          </w:tcPr>
          <w:p>
            <w:pPr>
              <w:spacing w:before="64" w:line="186" w:lineRule="auto"/>
              <w:ind w:firstLine="362"/>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4" w:line="186" w:lineRule="auto"/>
              <w:ind w:firstLine="389"/>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68" w:line="182" w:lineRule="auto"/>
              <w:ind w:firstLine="219"/>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Ⅱ</w:t>
            </w:r>
          </w:p>
        </w:tc>
        <w:tc>
          <w:tcPr>
            <w:tcW w:w="3103" w:type="dxa"/>
            <w:vAlign w:val="top"/>
          </w:tcPr>
          <w:p>
            <w:pPr>
              <w:spacing w:before="37" w:line="216" w:lineRule="auto"/>
              <w:ind w:firstLine="563"/>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14:textOutline w14:w="2667" w14:cap="flat" w14:cmpd="sng">
                  <w14:solidFill>
                    <w14:srgbClr w14:val="000000"/>
                  </w14:solidFill>
                  <w14:prstDash w14:val="solid"/>
                  <w14:miter w14:val="0"/>
                </w14:textOutline>
              </w:rPr>
              <w:t>第二部分</w:t>
            </w:r>
            <w:r>
              <w:rPr>
                <w:rFonts w:hint="default" w:ascii="Times New Roman" w:hAnsi="Times New Roman" w:eastAsia="仿宋" w:cs="Times New Roman"/>
                <w:color w:val="auto"/>
                <w:spacing w:val="-3"/>
                <w:sz w:val="21"/>
                <w:szCs w:val="21"/>
                <w:highlight w:val="none"/>
              </w:rPr>
              <w:t xml:space="preserve">   </w:t>
            </w: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植物措施</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4" w:line="186" w:lineRule="auto"/>
              <w:ind w:firstLine="280"/>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58.80</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54" w:type="dxa"/>
            <w:vAlign w:val="top"/>
          </w:tcPr>
          <w:p>
            <w:pPr>
              <w:spacing w:before="126" w:line="148" w:lineRule="exact"/>
              <w:ind w:firstLine="190"/>
              <w:rPr>
                <w:rFonts w:hint="default" w:ascii="Times New Roman" w:hAnsi="Times New Roman" w:eastAsia="仿宋" w:cs="Times New Roman"/>
                <w:color w:val="auto"/>
                <w:sz w:val="9"/>
                <w:szCs w:val="9"/>
                <w:highlight w:val="none"/>
              </w:rPr>
            </w:pPr>
            <w:r>
              <w:rPr>
                <w:rFonts w:hint="default" w:ascii="Times New Roman" w:hAnsi="Times New Roman" w:eastAsia="仿宋" w:cs="Times New Roman"/>
                <w:color w:val="auto"/>
                <w:spacing w:val="98"/>
                <w:position w:val="1"/>
                <w:sz w:val="9"/>
                <w:szCs w:val="9"/>
                <w:highlight w:val="none"/>
                <w14:textOutline w14:w="2667" w14:cap="flat" w14:cmpd="sng">
                  <w14:solidFill>
                    <w14:srgbClr w14:val="000000"/>
                  </w14:solidFill>
                  <w14:prstDash w14:val="solid"/>
                  <w14:miter w14:val="0"/>
                </w14:textOutline>
              </w:rPr>
              <w:t>一</w:t>
            </w:r>
          </w:p>
        </w:tc>
        <w:tc>
          <w:tcPr>
            <w:tcW w:w="3103" w:type="dxa"/>
            <w:vAlign w:val="top"/>
          </w:tcPr>
          <w:p>
            <w:pPr>
              <w:spacing w:before="38" w:line="217" w:lineRule="auto"/>
              <w:ind w:firstLine="1141"/>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14:textOutline w14:w="2667" w14:cap="flat" w14:cmpd="sng">
                  <w14:solidFill>
                    <w14:srgbClr w14:val="000000"/>
                  </w14:solidFill>
                  <w14:prstDash w14:val="solid"/>
                  <w14:miter w14:val="0"/>
                </w14:textOutline>
              </w:rPr>
              <w:t>主体已</w:t>
            </w:r>
            <w:r>
              <w:rPr>
                <w:rFonts w:hint="default" w:ascii="Times New Roman" w:hAnsi="Times New Roman" w:eastAsia="仿宋" w:cs="Times New Roman"/>
                <w:color w:val="auto"/>
                <w:spacing w:val="-2"/>
                <w:sz w:val="21"/>
                <w:szCs w:val="21"/>
                <w:highlight w:val="none"/>
                <w14:textOutline w14:w="2667" w14:cap="flat" w14:cmpd="sng">
                  <w14:solidFill>
                    <w14:srgbClr w14:val="000000"/>
                  </w14:solidFill>
                  <w14:prstDash w14:val="solid"/>
                  <w14:miter w14:val="0"/>
                </w14:textOutline>
              </w:rPr>
              <w:t>有</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spacing w:before="64" w:line="186" w:lineRule="auto"/>
              <w:ind w:firstLine="295"/>
              <w:rPr>
                <w:rFonts w:hint="default" w:ascii="Times New Roman" w:hAnsi="Times New Roman" w:eastAsia="仿宋" w:cs="Times New Roman"/>
                <w:color w:val="auto"/>
                <w:sz w:val="21"/>
                <w:szCs w:val="21"/>
                <w:highlight w:val="none"/>
              </w:rPr>
            </w:pPr>
          </w:p>
        </w:tc>
        <w:tc>
          <w:tcPr>
            <w:tcW w:w="1005" w:type="dxa"/>
            <w:vAlign w:val="top"/>
          </w:tcPr>
          <w:p>
            <w:pPr>
              <w:spacing w:before="64" w:line="186" w:lineRule="auto"/>
              <w:ind w:firstLine="251"/>
              <w:rPr>
                <w:rFonts w:hint="default" w:ascii="Times New Roman" w:hAnsi="Times New Roman" w:eastAsia="仿宋" w:cs="Times New Roman"/>
                <w:color w:val="auto"/>
                <w:sz w:val="21"/>
                <w:szCs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4" w:line="186" w:lineRule="auto"/>
              <w:ind w:firstLine="280"/>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65" w:line="188" w:lineRule="auto"/>
              <w:ind w:firstLine="243"/>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1</w:t>
            </w:r>
          </w:p>
        </w:tc>
        <w:tc>
          <w:tcPr>
            <w:tcW w:w="3103" w:type="dxa"/>
            <w:vAlign w:val="top"/>
          </w:tcPr>
          <w:p>
            <w:pPr>
              <w:spacing w:before="39" w:line="217" w:lineRule="auto"/>
              <w:ind w:firstLine="1039"/>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主体工程区</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spacing w:before="65" w:line="186" w:lineRule="auto"/>
              <w:ind w:firstLine="298"/>
              <w:rPr>
                <w:rFonts w:hint="default" w:ascii="Times New Roman" w:hAnsi="Times New Roman" w:eastAsia="仿宋" w:cs="Times New Roman"/>
                <w:color w:val="auto"/>
                <w:sz w:val="21"/>
                <w:szCs w:val="21"/>
                <w:highlight w:val="none"/>
              </w:rPr>
            </w:pPr>
          </w:p>
        </w:tc>
        <w:tc>
          <w:tcPr>
            <w:tcW w:w="1005" w:type="dxa"/>
            <w:vAlign w:val="top"/>
          </w:tcPr>
          <w:p>
            <w:pPr>
              <w:spacing w:before="65" w:line="186" w:lineRule="auto"/>
              <w:ind w:firstLine="254"/>
              <w:rPr>
                <w:rFonts w:hint="default" w:ascii="Times New Roman" w:hAnsi="Times New Roman" w:eastAsia="仿宋" w:cs="Times New Roman"/>
                <w:color w:val="auto"/>
                <w:sz w:val="21"/>
                <w:szCs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5" w:line="186" w:lineRule="auto"/>
              <w:ind w:firstLine="283"/>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65" w:line="188" w:lineRule="auto"/>
              <w:ind w:firstLine="23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2</w:t>
            </w:r>
          </w:p>
        </w:tc>
        <w:tc>
          <w:tcPr>
            <w:tcW w:w="3103" w:type="dxa"/>
            <w:vAlign w:val="top"/>
          </w:tcPr>
          <w:p>
            <w:pPr>
              <w:spacing w:before="39" w:line="218" w:lineRule="auto"/>
              <w:ind w:firstLine="103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进场道</w:t>
            </w:r>
            <w:r>
              <w:rPr>
                <w:rFonts w:hint="default" w:ascii="Times New Roman" w:hAnsi="Times New Roman" w:eastAsia="仿宋" w:cs="Times New Roman"/>
                <w:color w:val="auto"/>
                <w:spacing w:val="-1"/>
                <w:sz w:val="21"/>
                <w:szCs w:val="21"/>
                <w:highlight w:val="none"/>
              </w:rPr>
              <w:t>路区</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spacing w:before="65" w:line="186" w:lineRule="auto"/>
              <w:ind w:firstLine="356"/>
              <w:rPr>
                <w:rFonts w:hint="default" w:ascii="Times New Roman" w:hAnsi="Times New Roman" w:eastAsia="仿宋" w:cs="Times New Roman"/>
                <w:color w:val="auto"/>
                <w:sz w:val="21"/>
                <w:szCs w:val="21"/>
                <w:highlight w:val="none"/>
              </w:rPr>
            </w:pPr>
          </w:p>
        </w:tc>
        <w:tc>
          <w:tcPr>
            <w:tcW w:w="1005" w:type="dxa"/>
            <w:vAlign w:val="top"/>
          </w:tcPr>
          <w:p>
            <w:pPr>
              <w:spacing w:before="65" w:line="186" w:lineRule="auto"/>
              <w:ind w:firstLine="312"/>
              <w:rPr>
                <w:rFonts w:hint="default" w:ascii="Times New Roman" w:hAnsi="Times New Roman" w:eastAsia="仿宋" w:cs="Times New Roman"/>
                <w:color w:val="auto"/>
                <w:sz w:val="21"/>
                <w:szCs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5" w:line="186" w:lineRule="auto"/>
              <w:ind w:firstLine="381"/>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85" w:line="179" w:lineRule="auto"/>
              <w:ind w:firstLine="18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二</w:t>
            </w:r>
          </w:p>
        </w:tc>
        <w:tc>
          <w:tcPr>
            <w:tcW w:w="3103" w:type="dxa"/>
            <w:vAlign w:val="top"/>
          </w:tcPr>
          <w:p>
            <w:pPr>
              <w:spacing w:before="39" w:line="217" w:lineRule="auto"/>
              <w:ind w:firstLine="1136"/>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14:textOutline w14:w="2667" w14:cap="flat" w14:cmpd="sng">
                  <w14:solidFill>
                    <w14:srgbClr w14:val="000000"/>
                  </w14:solidFill>
                  <w14:prstDash w14:val="solid"/>
                  <w14:miter w14:val="0"/>
                </w14:textOutline>
              </w:rPr>
              <w:t>方案</w:t>
            </w:r>
            <w:r>
              <w:rPr>
                <w:rFonts w:hint="default" w:ascii="Times New Roman" w:hAnsi="Times New Roman" w:eastAsia="仿宋" w:cs="Times New Roman"/>
                <w:color w:val="auto"/>
                <w:spacing w:val="-1"/>
                <w:sz w:val="21"/>
                <w:szCs w:val="21"/>
                <w:highlight w:val="none"/>
                <w14:textOutline w14:w="2667" w14:cap="flat" w14:cmpd="sng">
                  <w14:solidFill>
                    <w14:srgbClr w14:val="000000"/>
                  </w14:solidFill>
                  <w14:prstDash w14:val="solid"/>
                  <w14:miter w14:val="0"/>
                </w14:textOutline>
              </w:rPr>
              <w:t>新增</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spacing w:before="65" w:line="186" w:lineRule="auto"/>
              <w:ind w:firstLine="353"/>
              <w:rPr>
                <w:rFonts w:hint="default" w:ascii="Times New Roman" w:hAnsi="Times New Roman" w:eastAsia="仿宋" w:cs="Times New Roman"/>
                <w:color w:val="auto"/>
                <w:sz w:val="21"/>
                <w:szCs w:val="21"/>
                <w:highlight w:val="none"/>
              </w:rPr>
            </w:pPr>
          </w:p>
        </w:tc>
        <w:tc>
          <w:tcPr>
            <w:tcW w:w="1005" w:type="dxa"/>
            <w:vAlign w:val="top"/>
          </w:tcPr>
          <w:p>
            <w:pPr>
              <w:spacing w:before="65" w:line="186" w:lineRule="auto"/>
              <w:ind w:firstLine="311"/>
              <w:rPr>
                <w:rFonts w:hint="default" w:ascii="Times New Roman" w:hAnsi="Times New Roman" w:eastAsia="仿宋" w:cs="Times New Roman"/>
                <w:color w:val="auto"/>
                <w:sz w:val="21"/>
                <w:szCs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5" w:line="186" w:lineRule="auto"/>
              <w:ind w:firstLine="388"/>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65" w:line="188" w:lineRule="auto"/>
              <w:ind w:firstLine="243"/>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1</w:t>
            </w:r>
          </w:p>
        </w:tc>
        <w:tc>
          <w:tcPr>
            <w:tcW w:w="3103" w:type="dxa"/>
            <w:vAlign w:val="top"/>
          </w:tcPr>
          <w:p>
            <w:pPr>
              <w:spacing w:before="39" w:line="218" w:lineRule="auto"/>
              <w:ind w:firstLine="103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进场</w:t>
            </w:r>
            <w:r>
              <w:rPr>
                <w:rFonts w:hint="default" w:ascii="Times New Roman" w:hAnsi="Times New Roman" w:eastAsia="仿宋" w:cs="Times New Roman"/>
                <w:color w:val="auto"/>
                <w:spacing w:val="-1"/>
                <w:sz w:val="21"/>
                <w:szCs w:val="21"/>
                <w:highlight w:val="none"/>
              </w:rPr>
              <w:t>道路区</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spacing w:before="65" w:line="186" w:lineRule="auto"/>
              <w:ind w:firstLine="355"/>
              <w:rPr>
                <w:rFonts w:hint="default" w:ascii="Times New Roman" w:hAnsi="Times New Roman" w:eastAsia="仿宋" w:cs="Times New Roman"/>
                <w:color w:val="auto"/>
                <w:sz w:val="21"/>
                <w:szCs w:val="21"/>
                <w:highlight w:val="none"/>
              </w:rPr>
            </w:pPr>
          </w:p>
        </w:tc>
        <w:tc>
          <w:tcPr>
            <w:tcW w:w="1005" w:type="dxa"/>
            <w:vAlign w:val="top"/>
          </w:tcPr>
          <w:p>
            <w:pPr>
              <w:spacing w:before="65" w:line="186" w:lineRule="auto"/>
              <w:ind w:firstLine="312"/>
              <w:rPr>
                <w:rFonts w:hint="default" w:ascii="Times New Roman" w:hAnsi="Times New Roman" w:eastAsia="仿宋" w:cs="Times New Roman"/>
                <w:color w:val="auto"/>
                <w:sz w:val="21"/>
                <w:szCs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5" w:line="186" w:lineRule="auto"/>
              <w:ind w:firstLine="389"/>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54" w:type="dxa"/>
            <w:vAlign w:val="top"/>
          </w:tcPr>
          <w:p>
            <w:pPr>
              <w:spacing w:before="69" w:line="182" w:lineRule="auto"/>
              <w:ind w:firstLine="195"/>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Ⅲ</w:t>
            </w:r>
          </w:p>
        </w:tc>
        <w:tc>
          <w:tcPr>
            <w:tcW w:w="3103" w:type="dxa"/>
            <w:vAlign w:val="top"/>
          </w:tcPr>
          <w:p>
            <w:pPr>
              <w:spacing w:before="39" w:line="217" w:lineRule="auto"/>
              <w:ind w:firstLine="616"/>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14:textOutline w14:w="2667" w14:cap="flat" w14:cmpd="sng">
                  <w14:solidFill>
                    <w14:srgbClr w14:val="000000"/>
                  </w14:solidFill>
                  <w14:prstDash w14:val="solid"/>
                  <w14:miter w14:val="0"/>
                </w14:textOutline>
              </w:rPr>
              <w:t>第</w:t>
            </w: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三部分</w:t>
            </w:r>
            <w:r>
              <w:rPr>
                <w:rFonts w:hint="default" w:ascii="Times New Roman" w:hAnsi="Times New Roman" w:eastAsia="仿宋" w:cs="Times New Roman"/>
                <w:color w:val="auto"/>
                <w:spacing w:val="-4"/>
                <w:sz w:val="21"/>
                <w:szCs w:val="21"/>
                <w:highlight w:val="none"/>
              </w:rPr>
              <w:t xml:space="preserve">  </w:t>
            </w: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临时工程</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5" w:line="186" w:lineRule="auto"/>
              <w:ind w:firstLine="328"/>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50.44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128" w:line="148" w:lineRule="exact"/>
              <w:ind w:firstLine="190"/>
              <w:rPr>
                <w:rFonts w:hint="default" w:ascii="Times New Roman" w:hAnsi="Times New Roman" w:eastAsia="仿宋" w:cs="Times New Roman"/>
                <w:color w:val="auto"/>
                <w:sz w:val="9"/>
                <w:szCs w:val="9"/>
                <w:highlight w:val="none"/>
              </w:rPr>
            </w:pPr>
            <w:r>
              <w:rPr>
                <w:rFonts w:hint="default" w:ascii="Times New Roman" w:hAnsi="Times New Roman" w:eastAsia="仿宋" w:cs="Times New Roman"/>
                <w:color w:val="auto"/>
                <w:spacing w:val="98"/>
                <w:position w:val="1"/>
                <w:sz w:val="9"/>
                <w:szCs w:val="9"/>
                <w:highlight w:val="none"/>
              </w:rPr>
              <w:t>一</w:t>
            </w:r>
          </w:p>
        </w:tc>
        <w:tc>
          <w:tcPr>
            <w:tcW w:w="3103" w:type="dxa"/>
            <w:vAlign w:val="top"/>
          </w:tcPr>
          <w:p>
            <w:pPr>
              <w:spacing w:before="40" w:line="217" w:lineRule="auto"/>
              <w:ind w:firstLine="937"/>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临时防护工程</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6" w:line="186" w:lineRule="auto"/>
              <w:ind w:firstLine="330"/>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66" w:line="188" w:lineRule="auto"/>
              <w:ind w:firstLine="243"/>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1</w:t>
            </w:r>
          </w:p>
        </w:tc>
        <w:tc>
          <w:tcPr>
            <w:tcW w:w="3103" w:type="dxa"/>
            <w:vAlign w:val="top"/>
          </w:tcPr>
          <w:p>
            <w:pPr>
              <w:spacing w:before="40" w:line="217" w:lineRule="auto"/>
              <w:ind w:firstLine="1142"/>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14:textOutline w14:w="2667" w14:cap="flat" w14:cmpd="sng">
                  <w14:solidFill>
                    <w14:srgbClr w14:val="000000"/>
                  </w14:solidFill>
                  <w14:prstDash w14:val="solid"/>
                  <w14:miter w14:val="0"/>
                </w14:textOutline>
              </w:rPr>
              <w:t>主体已</w:t>
            </w:r>
            <w:r>
              <w:rPr>
                <w:rFonts w:hint="default" w:ascii="Times New Roman" w:hAnsi="Times New Roman" w:eastAsia="仿宋" w:cs="Times New Roman"/>
                <w:color w:val="auto"/>
                <w:spacing w:val="-2"/>
                <w:sz w:val="21"/>
                <w:szCs w:val="21"/>
                <w:highlight w:val="none"/>
                <w14:textOutline w14:w="2667" w14:cap="flat" w14:cmpd="sng">
                  <w14:solidFill>
                    <w14:srgbClr w14:val="000000"/>
                  </w14:solidFill>
                  <w14:prstDash w14:val="solid"/>
                  <w14:miter w14:val="0"/>
                </w14:textOutline>
              </w:rPr>
              <w:t>有</w:t>
            </w:r>
          </w:p>
        </w:tc>
        <w:tc>
          <w:tcPr>
            <w:tcW w:w="1107" w:type="dxa"/>
            <w:vAlign w:val="top"/>
          </w:tcPr>
          <w:p>
            <w:pPr>
              <w:spacing w:before="66" w:line="186" w:lineRule="auto"/>
              <w:ind w:firstLine="361"/>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6" w:line="186" w:lineRule="auto"/>
              <w:ind w:firstLine="389"/>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39" w:line="217" w:lineRule="auto"/>
              <w:ind w:firstLine="18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①</w:t>
            </w:r>
          </w:p>
        </w:tc>
        <w:tc>
          <w:tcPr>
            <w:tcW w:w="3103" w:type="dxa"/>
            <w:vAlign w:val="top"/>
          </w:tcPr>
          <w:p>
            <w:pPr>
              <w:spacing w:before="40" w:line="217" w:lineRule="auto"/>
              <w:ind w:firstLine="103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主体工程</w:t>
            </w:r>
            <w:r>
              <w:rPr>
                <w:rFonts w:hint="default" w:ascii="Times New Roman" w:hAnsi="Times New Roman" w:eastAsia="仿宋" w:cs="Times New Roman"/>
                <w:color w:val="auto"/>
                <w:spacing w:val="-2"/>
                <w:sz w:val="21"/>
                <w:szCs w:val="21"/>
                <w:highlight w:val="none"/>
              </w:rPr>
              <w:t>区</w:t>
            </w:r>
          </w:p>
        </w:tc>
        <w:tc>
          <w:tcPr>
            <w:tcW w:w="1107" w:type="dxa"/>
            <w:vAlign w:val="top"/>
          </w:tcPr>
          <w:p>
            <w:pPr>
              <w:spacing w:before="66" w:line="186" w:lineRule="auto"/>
              <w:ind w:firstLine="364"/>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6" w:line="186" w:lineRule="auto"/>
              <w:ind w:firstLine="391"/>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8" w:hRule="atLeast"/>
        </w:trPr>
        <w:tc>
          <w:tcPr>
            <w:tcW w:w="554" w:type="dxa"/>
            <w:vAlign w:val="top"/>
          </w:tcPr>
          <w:p>
            <w:pPr>
              <w:spacing w:before="66" w:line="188" w:lineRule="auto"/>
              <w:ind w:firstLine="23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2</w:t>
            </w:r>
          </w:p>
        </w:tc>
        <w:tc>
          <w:tcPr>
            <w:tcW w:w="3103" w:type="dxa"/>
            <w:vAlign w:val="top"/>
          </w:tcPr>
          <w:p>
            <w:pPr>
              <w:spacing w:before="40" w:line="217" w:lineRule="auto"/>
              <w:ind w:firstLine="1136"/>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14:textOutline w14:w="2667" w14:cap="flat" w14:cmpd="sng">
                  <w14:solidFill>
                    <w14:srgbClr w14:val="000000"/>
                  </w14:solidFill>
                  <w14:prstDash w14:val="solid"/>
                  <w14:miter w14:val="0"/>
                </w14:textOutline>
              </w:rPr>
              <w:t>方案新</w:t>
            </w:r>
            <w:r>
              <w:rPr>
                <w:rFonts w:hint="default" w:ascii="Times New Roman" w:hAnsi="Times New Roman" w:eastAsia="仿宋" w:cs="Times New Roman"/>
                <w:color w:val="auto"/>
                <w:spacing w:val="-1"/>
                <w:sz w:val="21"/>
                <w:szCs w:val="21"/>
                <w:highlight w:val="none"/>
                <w14:textOutline w14:w="2667" w14:cap="flat" w14:cmpd="sng">
                  <w14:solidFill>
                    <w14:srgbClr w14:val="000000"/>
                  </w14:solidFill>
                  <w14:prstDash w14:val="solid"/>
                  <w14:miter w14:val="0"/>
                </w14:textOutline>
              </w:rPr>
              <w:t>增</w:t>
            </w:r>
          </w:p>
        </w:tc>
        <w:tc>
          <w:tcPr>
            <w:tcW w:w="1107" w:type="dxa"/>
            <w:vAlign w:val="top"/>
          </w:tcPr>
          <w:p>
            <w:pPr>
              <w:spacing w:before="66" w:line="186" w:lineRule="auto"/>
              <w:ind w:firstLine="300"/>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6" w:line="186" w:lineRule="auto"/>
              <w:ind w:firstLine="328"/>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40" w:line="217" w:lineRule="auto"/>
              <w:ind w:firstLine="18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①</w:t>
            </w:r>
          </w:p>
        </w:tc>
        <w:tc>
          <w:tcPr>
            <w:tcW w:w="3103" w:type="dxa"/>
            <w:vAlign w:val="top"/>
          </w:tcPr>
          <w:p>
            <w:pPr>
              <w:spacing w:before="41" w:line="217" w:lineRule="auto"/>
              <w:ind w:firstLine="103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主体工程区</w:t>
            </w:r>
          </w:p>
        </w:tc>
        <w:tc>
          <w:tcPr>
            <w:tcW w:w="1107" w:type="dxa"/>
            <w:vAlign w:val="top"/>
          </w:tcPr>
          <w:p>
            <w:pPr>
              <w:spacing w:before="67" w:line="186" w:lineRule="auto"/>
              <w:ind w:firstLine="311"/>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7" w:line="186" w:lineRule="auto"/>
              <w:ind w:firstLine="339"/>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40" w:line="217" w:lineRule="auto"/>
              <w:ind w:firstLine="187"/>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②</w:t>
            </w:r>
          </w:p>
        </w:tc>
        <w:tc>
          <w:tcPr>
            <w:tcW w:w="3103" w:type="dxa"/>
            <w:vAlign w:val="top"/>
          </w:tcPr>
          <w:p>
            <w:pPr>
              <w:spacing w:before="41" w:line="218" w:lineRule="auto"/>
              <w:ind w:firstLine="103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施工临</w:t>
            </w:r>
            <w:r>
              <w:rPr>
                <w:rFonts w:hint="default" w:ascii="Times New Roman" w:hAnsi="Times New Roman" w:eastAsia="仿宋" w:cs="Times New Roman"/>
                <w:color w:val="auto"/>
                <w:spacing w:val="-1"/>
                <w:sz w:val="21"/>
                <w:szCs w:val="21"/>
                <w:highlight w:val="none"/>
              </w:rPr>
              <w:t>建区</w:t>
            </w:r>
          </w:p>
        </w:tc>
        <w:tc>
          <w:tcPr>
            <w:tcW w:w="1107" w:type="dxa"/>
            <w:vAlign w:val="top"/>
          </w:tcPr>
          <w:p>
            <w:pPr>
              <w:spacing w:before="67" w:line="186" w:lineRule="auto"/>
              <w:ind w:firstLine="355"/>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7" w:line="186" w:lineRule="auto"/>
              <w:ind w:firstLine="382"/>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40" w:line="217" w:lineRule="auto"/>
              <w:ind w:firstLine="18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③</w:t>
            </w:r>
          </w:p>
        </w:tc>
        <w:tc>
          <w:tcPr>
            <w:tcW w:w="3103" w:type="dxa"/>
            <w:vAlign w:val="top"/>
          </w:tcPr>
          <w:p>
            <w:pPr>
              <w:spacing w:before="40" w:line="216" w:lineRule="auto"/>
              <w:ind w:firstLine="1041"/>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4"/>
                <w:sz w:val="21"/>
                <w:szCs w:val="21"/>
                <w:highlight w:val="none"/>
              </w:rPr>
              <w:t>临时</w:t>
            </w:r>
            <w:r>
              <w:rPr>
                <w:rFonts w:hint="default" w:ascii="Times New Roman" w:hAnsi="Times New Roman" w:eastAsia="仿宋" w:cs="Times New Roman"/>
                <w:color w:val="auto"/>
                <w:spacing w:val="-3"/>
                <w:sz w:val="21"/>
                <w:szCs w:val="21"/>
                <w:highlight w:val="none"/>
              </w:rPr>
              <w:t>堆土区</w:t>
            </w:r>
          </w:p>
        </w:tc>
        <w:tc>
          <w:tcPr>
            <w:tcW w:w="1107" w:type="dxa"/>
            <w:vAlign w:val="top"/>
          </w:tcPr>
          <w:p>
            <w:pPr>
              <w:spacing w:before="67" w:line="186" w:lineRule="auto"/>
              <w:ind w:firstLine="364"/>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7" w:line="186" w:lineRule="auto"/>
              <w:ind w:firstLine="390"/>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40" w:line="217" w:lineRule="auto"/>
              <w:ind w:firstLine="187"/>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④</w:t>
            </w:r>
          </w:p>
        </w:tc>
        <w:tc>
          <w:tcPr>
            <w:tcW w:w="3103" w:type="dxa"/>
            <w:vAlign w:val="top"/>
          </w:tcPr>
          <w:p>
            <w:pPr>
              <w:spacing w:before="41" w:line="218" w:lineRule="auto"/>
              <w:ind w:firstLine="1029"/>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进场</w:t>
            </w:r>
            <w:r>
              <w:rPr>
                <w:rFonts w:hint="default" w:ascii="Times New Roman" w:hAnsi="Times New Roman" w:eastAsia="仿宋" w:cs="Times New Roman"/>
                <w:color w:val="auto"/>
                <w:spacing w:val="-1"/>
                <w:sz w:val="21"/>
                <w:szCs w:val="21"/>
                <w:highlight w:val="none"/>
              </w:rPr>
              <w:t>道路区</w:t>
            </w:r>
          </w:p>
        </w:tc>
        <w:tc>
          <w:tcPr>
            <w:tcW w:w="1107" w:type="dxa"/>
            <w:vAlign w:val="top"/>
          </w:tcPr>
          <w:p>
            <w:pPr>
              <w:spacing w:before="67" w:line="186" w:lineRule="auto"/>
              <w:ind w:firstLine="362"/>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7" w:line="186" w:lineRule="auto"/>
              <w:ind w:firstLine="388"/>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87" w:line="177" w:lineRule="auto"/>
              <w:ind w:firstLine="18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二</w:t>
            </w:r>
          </w:p>
        </w:tc>
        <w:tc>
          <w:tcPr>
            <w:tcW w:w="3103" w:type="dxa"/>
            <w:vAlign w:val="top"/>
          </w:tcPr>
          <w:p>
            <w:pPr>
              <w:spacing w:before="40" w:line="217" w:lineRule="auto"/>
              <w:ind w:firstLine="925"/>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其他</w:t>
            </w:r>
            <w:r>
              <w:rPr>
                <w:rFonts w:hint="default" w:ascii="Times New Roman" w:hAnsi="Times New Roman" w:eastAsia="仿宋" w:cs="Times New Roman"/>
                <w:color w:val="auto"/>
                <w:spacing w:val="-1"/>
                <w:sz w:val="21"/>
                <w:szCs w:val="21"/>
                <w:highlight w:val="none"/>
              </w:rPr>
              <w:t>临时工程</w:t>
            </w:r>
          </w:p>
        </w:tc>
        <w:tc>
          <w:tcPr>
            <w:tcW w:w="1107" w:type="dxa"/>
            <w:vAlign w:val="top"/>
          </w:tcPr>
          <w:p>
            <w:pPr>
              <w:spacing w:before="67" w:line="186" w:lineRule="auto"/>
              <w:ind w:firstLine="362"/>
              <w:rPr>
                <w:rFonts w:hint="default" w:ascii="Times New Roman" w:hAnsi="Times New Roman" w:eastAsia="仿宋" w:cs="Times New Roman"/>
                <w:color w:val="auto"/>
                <w:sz w:val="21"/>
                <w:szCs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7" w:line="186" w:lineRule="auto"/>
              <w:ind w:firstLine="388"/>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71" w:line="182" w:lineRule="auto"/>
              <w:ind w:firstLine="193"/>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Ⅳ</w:t>
            </w:r>
          </w:p>
        </w:tc>
        <w:tc>
          <w:tcPr>
            <w:tcW w:w="3103" w:type="dxa"/>
            <w:vAlign w:val="top"/>
          </w:tcPr>
          <w:p>
            <w:pPr>
              <w:spacing w:before="41" w:line="217" w:lineRule="auto"/>
              <w:ind w:firstLine="616"/>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14:textOutline w14:w="2667" w14:cap="flat" w14:cmpd="sng">
                  <w14:solidFill>
                    <w14:srgbClr w14:val="000000"/>
                  </w14:solidFill>
                  <w14:prstDash w14:val="solid"/>
                  <w14:miter w14:val="0"/>
                </w14:textOutline>
              </w:rPr>
              <w:t>第四部</w:t>
            </w: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分</w:t>
            </w:r>
            <w:r>
              <w:rPr>
                <w:rFonts w:hint="default" w:ascii="Times New Roman" w:hAnsi="Times New Roman" w:eastAsia="仿宋" w:cs="Times New Roman"/>
                <w:color w:val="auto"/>
                <w:spacing w:val="-4"/>
                <w:sz w:val="21"/>
                <w:szCs w:val="21"/>
                <w:highlight w:val="none"/>
              </w:rPr>
              <w:t xml:space="preserve">  </w:t>
            </w: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独立费用</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rPr>
                <w:rFonts w:hint="default" w:ascii="Times New Roman" w:hAnsi="Times New Roman" w:cs="Times New Roman"/>
                <w:color w:val="auto"/>
                <w:sz w:val="21"/>
                <w:highlight w:val="none"/>
              </w:rPr>
            </w:pPr>
          </w:p>
        </w:tc>
        <w:tc>
          <w:tcPr>
            <w:tcW w:w="1160" w:type="dxa"/>
            <w:vAlign w:val="top"/>
          </w:tcPr>
          <w:p>
            <w:pPr>
              <w:spacing w:before="67" w:line="186" w:lineRule="auto"/>
              <w:ind w:firstLine="280"/>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15.94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67" w:line="188" w:lineRule="auto"/>
              <w:ind w:firstLine="243"/>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1</w:t>
            </w:r>
          </w:p>
        </w:tc>
        <w:tc>
          <w:tcPr>
            <w:tcW w:w="3103" w:type="dxa"/>
            <w:vAlign w:val="top"/>
          </w:tcPr>
          <w:p>
            <w:pPr>
              <w:spacing w:before="41" w:line="218" w:lineRule="auto"/>
              <w:ind w:firstLine="102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建</w:t>
            </w:r>
            <w:r>
              <w:rPr>
                <w:rFonts w:hint="default" w:ascii="Times New Roman" w:hAnsi="Times New Roman" w:eastAsia="仿宋" w:cs="Times New Roman"/>
                <w:color w:val="auto"/>
                <w:spacing w:val="-1"/>
                <w:sz w:val="21"/>
                <w:szCs w:val="21"/>
                <w:highlight w:val="none"/>
              </w:rPr>
              <w:t>设管理费</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spacing w:before="67" w:line="186" w:lineRule="auto"/>
              <w:ind w:firstLine="337"/>
              <w:rPr>
                <w:rFonts w:hint="default" w:ascii="Times New Roman" w:hAnsi="Times New Roman" w:eastAsia="仿宋" w:cs="Times New Roman"/>
                <w:color w:val="auto"/>
                <w:sz w:val="21"/>
                <w:szCs w:val="21"/>
                <w:highlight w:val="none"/>
              </w:rPr>
            </w:pPr>
          </w:p>
        </w:tc>
        <w:tc>
          <w:tcPr>
            <w:tcW w:w="1160" w:type="dxa"/>
            <w:vAlign w:val="top"/>
          </w:tcPr>
          <w:p>
            <w:pPr>
              <w:spacing w:before="67" w:line="186" w:lineRule="auto"/>
              <w:ind w:firstLine="389"/>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67" w:line="188" w:lineRule="auto"/>
              <w:ind w:firstLine="238"/>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2</w:t>
            </w:r>
          </w:p>
        </w:tc>
        <w:tc>
          <w:tcPr>
            <w:tcW w:w="3103" w:type="dxa"/>
            <w:vAlign w:val="top"/>
          </w:tcPr>
          <w:p>
            <w:pPr>
              <w:spacing w:before="41" w:line="217" w:lineRule="auto"/>
              <w:ind w:firstLine="1032"/>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勘测设计费</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spacing w:before="67" w:line="186" w:lineRule="auto"/>
              <w:ind w:firstLine="286"/>
              <w:rPr>
                <w:rFonts w:hint="default" w:ascii="Times New Roman" w:hAnsi="Times New Roman" w:eastAsia="仿宋" w:cs="Times New Roman"/>
                <w:color w:val="auto"/>
                <w:sz w:val="21"/>
                <w:szCs w:val="21"/>
                <w:highlight w:val="none"/>
              </w:rPr>
            </w:pPr>
          </w:p>
        </w:tc>
        <w:tc>
          <w:tcPr>
            <w:tcW w:w="1160" w:type="dxa"/>
            <w:vAlign w:val="top"/>
          </w:tcPr>
          <w:p>
            <w:pPr>
              <w:spacing w:before="67" w:line="186" w:lineRule="auto"/>
              <w:ind w:firstLine="339"/>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68" w:line="186" w:lineRule="auto"/>
              <w:ind w:firstLine="246"/>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3</w:t>
            </w:r>
          </w:p>
        </w:tc>
        <w:tc>
          <w:tcPr>
            <w:tcW w:w="3103" w:type="dxa"/>
            <w:vAlign w:val="top"/>
          </w:tcPr>
          <w:p>
            <w:pPr>
              <w:spacing w:before="41" w:line="218" w:lineRule="auto"/>
              <w:ind w:firstLine="825"/>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工程建设监</w:t>
            </w:r>
            <w:r>
              <w:rPr>
                <w:rFonts w:hint="default" w:ascii="Times New Roman" w:hAnsi="Times New Roman" w:eastAsia="仿宋" w:cs="Times New Roman"/>
                <w:color w:val="auto"/>
                <w:spacing w:val="-1"/>
                <w:sz w:val="21"/>
                <w:szCs w:val="21"/>
                <w:highlight w:val="none"/>
              </w:rPr>
              <w:t>理费</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spacing w:before="67" w:line="186" w:lineRule="auto"/>
              <w:ind w:firstLine="332"/>
              <w:rPr>
                <w:rFonts w:hint="default" w:ascii="Times New Roman" w:hAnsi="Times New Roman" w:eastAsia="仿宋" w:cs="Times New Roman"/>
                <w:color w:val="auto"/>
                <w:sz w:val="21"/>
                <w:szCs w:val="21"/>
                <w:highlight w:val="none"/>
              </w:rPr>
            </w:pPr>
          </w:p>
        </w:tc>
        <w:tc>
          <w:tcPr>
            <w:tcW w:w="1160" w:type="dxa"/>
            <w:vAlign w:val="top"/>
          </w:tcPr>
          <w:p>
            <w:pPr>
              <w:spacing w:before="67" w:line="186" w:lineRule="auto"/>
              <w:ind w:firstLine="383"/>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67" w:line="188" w:lineRule="auto"/>
              <w:ind w:firstLine="237"/>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4</w:t>
            </w:r>
          </w:p>
        </w:tc>
        <w:tc>
          <w:tcPr>
            <w:tcW w:w="3103" w:type="dxa"/>
            <w:vAlign w:val="top"/>
          </w:tcPr>
          <w:p>
            <w:pPr>
              <w:spacing w:before="40" w:line="216" w:lineRule="auto"/>
              <w:ind w:firstLine="819"/>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2"/>
                <w:sz w:val="21"/>
                <w:szCs w:val="21"/>
                <w:highlight w:val="none"/>
              </w:rPr>
              <w:t>水</w:t>
            </w:r>
            <w:r>
              <w:rPr>
                <w:rFonts w:hint="default" w:ascii="Times New Roman" w:hAnsi="Times New Roman" w:eastAsia="仿宋" w:cs="Times New Roman"/>
                <w:color w:val="auto"/>
                <w:spacing w:val="-1"/>
                <w:sz w:val="21"/>
                <w:szCs w:val="21"/>
                <w:highlight w:val="none"/>
              </w:rPr>
              <w:t>土保持监测费</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spacing w:before="67" w:line="186" w:lineRule="auto"/>
              <w:ind w:firstLine="285"/>
              <w:rPr>
                <w:rFonts w:hint="default" w:ascii="Times New Roman" w:hAnsi="Times New Roman" w:eastAsia="仿宋" w:cs="Times New Roman"/>
                <w:color w:val="auto"/>
                <w:sz w:val="21"/>
                <w:szCs w:val="21"/>
                <w:highlight w:val="none"/>
              </w:rPr>
            </w:pPr>
          </w:p>
        </w:tc>
        <w:tc>
          <w:tcPr>
            <w:tcW w:w="1160" w:type="dxa"/>
            <w:vAlign w:val="top"/>
          </w:tcPr>
          <w:p>
            <w:pPr>
              <w:spacing w:before="67" w:line="186" w:lineRule="auto"/>
              <w:ind w:firstLine="338"/>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89" w:hRule="atLeast"/>
        </w:trPr>
        <w:tc>
          <w:tcPr>
            <w:tcW w:w="554" w:type="dxa"/>
            <w:vAlign w:val="top"/>
          </w:tcPr>
          <w:p>
            <w:pPr>
              <w:spacing w:before="71" w:line="183" w:lineRule="auto"/>
              <w:ind w:firstLine="240"/>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5</w:t>
            </w:r>
          </w:p>
        </w:tc>
        <w:tc>
          <w:tcPr>
            <w:tcW w:w="3103" w:type="dxa"/>
            <w:vAlign w:val="top"/>
          </w:tcPr>
          <w:p>
            <w:pPr>
              <w:spacing w:before="41" w:line="215" w:lineRule="auto"/>
              <w:ind w:firstLine="609"/>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1"/>
                <w:sz w:val="21"/>
                <w:szCs w:val="21"/>
                <w:highlight w:val="none"/>
              </w:rPr>
              <w:t>水土保持验收评估</w:t>
            </w:r>
            <w:r>
              <w:rPr>
                <w:rFonts w:hint="default" w:ascii="Times New Roman" w:hAnsi="Times New Roman" w:eastAsia="仿宋" w:cs="Times New Roman"/>
                <w:color w:val="auto"/>
                <w:sz w:val="21"/>
                <w:szCs w:val="21"/>
                <w:highlight w:val="none"/>
              </w:rPr>
              <w:t>费</w:t>
            </w:r>
          </w:p>
        </w:tc>
        <w:tc>
          <w:tcPr>
            <w:tcW w:w="1107" w:type="dxa"/>
            <w:vAlign w:val="top"/>
          </w:tcPr>
          <w:p>
            <w:pPr>
              <w:rPr>
                <w:rFonts w:hint="default" w:ascii="Times New Roman" w:hAnsi="Times New Roman" w:cs="Times New Roman"/>
                <w:color w:val="auto"/>
                <w:sz w:val="21"/>
                <w:highlight w:val="none"/>
              </w:rPr>
            </w:pPr>
          </w:p>
        </w:tc>
        <w:tc>
          <w:tcPr>
            <w:tcW w:w="1092" w:type="dxa"/>
            <w:vAlign w:val="top"/>
          </w:tcPr>
          <w:p>
            <w:pPr>
              <w:rPr>
                <w:rFonts w:hint="default" w:ascii="Times New Roman" w:hAnsi="Times New Roman" w:cs="Times New Roman"/>
                <w:color w:val="auto"/>
                <w:sz w:val="21"/>
                <w:highlight w:val="none"/>
              </w:rPr>
            </w:pPr>
          </w:p>
        </w:tc>
        <w:tc>
          <w:tcPr>
            <w:tcW w:w="1005" w:type="dxa"/>
            <w:vAlign w:val="top"/>
          </w:tcPr>
          <w:p>
            <w:pPr>
              <w:rPr>
                <w:rFonts w:hint="default" w:ascii="Times New Roman" w:hAnsi="Times New Roman" w:cs="Times New Roman"/>
                <w:color w:val="auto"/>
                <w:sz w:val="21"/>
                <w:highlight w:val="none"/>
              </w:rPr>
            </w:pPr>
          </w:p>
        </w:tc>
        <w:tc>
          <w:tcPr>
            <w:tcW w:w="1053" w:type="dxa"/>
            <w:vAlign w:val="top"/>
          </w:tcPr>
          <w:p>
            <w:pPr>
              <w:spacing w:before="67" w:line="186" w:lineRule="auto"/>
              <w:ind w:firstLine="277"/>
              <w:rPr>
                <w:rFonts w:hint="default" w:ascii="Times New Roman" w:hAnsi="Times New Roman" w:eastAsia="仿宋" w:cs="Times New Roman"/>
                <w:color w:val="auto"/>
                <w:sz w:val="21"/>
                <w:szCs w:val="21"/>
                <w:highlight w:val="none"/>
              </w:rPr>
            </w:pPr>
          </w:p>
        </w:tc>
        <w:tc>
          <w:tcPr>
            <w:tcW w:w="1160" w:type="dxa"/>
            <w:vAlign w:val="top"/>
          </w:tcPr>
          <w:p>
            <w:pPr>
              <w:spacing w:before="67" w:line="186" w:lineRule="auto"/>
              <w:ind w:firstLine="330"/>
              <w:rPr>
                <w:rFonts w:hint="default" w:ascii="Times New Roman" w:hAnsi="Times New Roman" w:eastAsia="仿宋" w:cs="Times New Roman"/>
                <w:color w:val="auto"/>
                <w:sz w:val="21"/>
                <w:szCs w:val="21"/>
                <w:highlight w:val="none"/>
              </w:rPr>
            </w:pP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554" w:type="dxa"/>
            <w:vAlign w:val="top"/>
          </w:tcPr>
          <w:p>
            <w:pPr>
              <w:spacing w:before="71" w:line="182" w:lineRule="auto"/>
              <w:ind w:firstLine="202"/>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z w:val="21"/>
                <w:szCs w:val="21"/>
                <w:highlight w:val="none"/>
              </w:rPr>
              <w:t>Ⅴ</w:t>
            </w:r>
          </w:p>
        </w:tc>
        <w:tc>
          <w:tcPr>
            <w:tcW w:w="3103" w:type="dxa"/>
            <w:vAlign w:val="top"/>
          </w:tcPr>
          <w:p>
            <w:pPr>
              <w:spacing w:before="41" w:line="217" w:lineRule="auto"/>
              <w:ind w:firstLine="832"/>
              <w:rPr>
                <w:rFonts w:hint="default" w:ascii="Times New Roman" w:hAnsi="Times New Roman" w:eastAsia="仿宋" w:cs="Times New Roman"/>
                <w:color w:val="auto"/>
                <w:sz w:val="21"/>
                <w:szCs w:val="21"/>
                <w:highlight w:val="none"/>
              </w:rPr>
            </w:pPr>
            <w:r>
              <w:rPr>
                <w:rFonts w:hint="default" w:ascii="Times New Roman" w:hAnsi="Times New Roman" w:eastAsia="仿宋" w:cs="Times New Roman"/>
                <w:color w:val="auto"/>
                <w:spacing w:val="-3"/>
                <w:sz w:val="21"/>
                <w:szCs w:val="21"/>
                <w:highlight w:val="none"/>
              </w:rPr>
              <w:t>一至四部分</w:t>
            </w:r>
            <w:r>
              <w:rPr>
                <w:rFonts w:hint="default" w:ascii="Times New Roman" w:hAnsi="Times New Roman" w:eastAsia="仿宋" w:cs="Times New Roman"/>
                <w:color w:val="auto"/>
                <w:spacing w:val="-2"/>
                <w:sz w:val="21"/>
                <w:szCs w:val="21"/>
                <w:highlight w:val="none"/>
              </w:rPr>
              <w:t>合计</w:t>
            </w:r>
          </w:p>
        </w:tc>
        <w:tc>
          <w:tcPr>
            <w:tcW w:w="1107" w:type="dxa"/>
            <w:vAlign w:val="top"/>
          </w:tcPr>
          <w:p>
            <w:pPr>
              <w:spacing w:before="67" w:line="186" w:lineRule="auto"/>
              <w:ind w:firstLine="258"/>
              <w:rPr>
                <w:rFonts w:hint="default" w:ascii="Times New Roman" w:hAnsi="Times New Roman" w:eastAsia="仿宋" w:cs="Times New Roman"/>
                <w:color w:val="auto"/>
                <w:sz w:val="21"/>
                <w:szCs w:val="21"/>
                <w:highlight w:val="none"/>
              </w:rPr>
            </w:pPr>
          </w:p>
        </w:tc>
        <w:tc>
          <w:tcPr>
            <w:tcW w:w="1092" w:type="dxa"/>
            <w:vAlign w:val="top"/>
          </w:tcPr>
          <w:p>
            <w:pPr>
              <w:spacing w:before="67" w:line="186" w:lineRule="auto"/>
              <w:ind w:firstLine="247"/>
              <w:rPr>
                <w:rFonts w:hint="default" w:ascii="Times New Roman" w:hAnsi="Times New Roman" w:eastAsia="仿宋" w:cs="Times New Roman"/>
                <w:color w:val="auto"/>
                <w:sz w:val="21"/>
                <w:szCs w:val="21"/>
                <w:highlight w:val="none"/>
              </w:rPr>
            </w:pPr>
          </w:p>
        </w:tc>
        <w:tc>
          <w:tcPr>
            <w:tcW w:w="1005" w:type="dxa"/>
            <w:vAlign w:val="top"/>
          </w:tcPr>
          <w:p>
            <w:pPr>
              <w:spacing w:before="67" w:line="186" w:lineRule="auto"/>
              <w:ind w:firstLine="256"/>
              <w:rPr>
                <w:rFonts w:hint="default" w:ascii="Times New Roman" w:hAnsi="Times New Roman" w:eastAsia="仿宋" w:cs="Times New Roman"/>
                <w:color w:val="auto"/>
                <w:sz w:val="21"/>
                <w:szCs w:val="21"/>
                <w:highlight w:val="none"/>
              </w:rPr>
            </w:pPr>
          </w:p>
        </w:tc>
        <w:tc>
          <w:tcPr>
            <w:tcW w:w="1053" w:type="dxa"/>
            <w:vAlign w:val="top"/>
          </w:tcPr>
          <w:p>
            <w:pPr>
              <w:spacing w:before="67" w:line="186" w:lineRule="auto"/>
              <w:ind w:firstLine="229"/>
              <w:rPr>
                <w:rFonts w:hint="default" w:ascii="Times New Roman" w:hAnsi="Times New Roman" w:eastAsia="仿宋" w:cs="Times New Roman"/>
                <w:color w:val="auto"/>
                <w:sz w:val="21"/>
                <w:szCs w:val="21"/>
                <w:highlight w:val="none"/>
              </w:rPr>
            </w:pPr>
          </w:p>
        </w:tc>
        <w:tc>
          <w:tcPr>
            <w:tcW w:w="1160" w:type="dxa"/>
            <w:vAlign w:val="top"/>
          </w:tcPr>
          <w:p>
            <w:pPr>
              <w:spacing w:before="67" w:line="186" w:lineRule="auto"/>
              <w:ind w:firstLine="285"/>
              <w:rPr>
                <w:rFonts w:hint="default" w:ascii="Times New Roman" w:hAnsi="Times New Roman" w:eastAsia="仿宋" w:cs="Times New Roman"/>
                <w:color w:val="auto"/>
                <w:sz w:val="21"/>
                <w:szCs w:val="21"/>
                <w:highlight w:val="none"/>
                <w:lang w:val="en-US" w:eastAsia="zh-CN"/>
              </w:rPr>
            </w:pPr>
            <w:r>
              <w:rPr>
                <w:rFonts w:hint="default" w:ascii="Times New Roman" w:hAnsi="Times New Roman" w:cs="Times New Roman"/>
                <w:color w:val="auto"/>
                <w:sz w:val="21"/>
                <w:szCs w:val="21"/>
                <w:highlight w:val="none"/>
                <w:lang w:val="en-US" w:eastAsia="zh-CN"/>
              </w:rPr>
              <w:t>699.64</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554" w:type="dxa"/>
            <w:vAlign w:val="top"/>
          </w:tcPr>
          <w:p>
            <w:pPr>
              <w:spacing w:before="69" w:line="182" w:lineRule="auto"/>
              <w:ind w:firstLine="187" w:firstLineChars="0"/>
              <w:rPr>
                <w:rFonts w:hint="default" w:ascii="Times New Roman" w:hAnsi="Times New Roman" w:eastAsia="仿宋" w:cs="Times New Roman"/>
                <w:color w:val="auto"/>
                <w:kern w:val="2"/>
                <w:sz w:val="21"/>
                <w:szCs w:val="21"/>
                <w:highlight w:val="none"/>
                <w:lang w:val="en-US" w:eastAsia="zh-CN" w:bidi="ar-SA"/>
              </w:rPr>
            </w:pPr>
            <w:r>
              <w:rPr>
                <w:rFonts w:hint="default" w:ascii="Times New Roman" w:hAnsi="Times New Roman" w:eastAsia="仿宋" w:cs="Times New Roman"/>
                <w:color w:val="auto"/>
                <w:sz w:val="21"/>
                <w:szCs w:val="21"/>
                <w:highlight w:val="none"/>
              </w:rPr>
              <w:t>Ⅵ</w:t>
            </w:r>
          </w:p>
        </w:tc>
        <w:tc>
          <w:tcPr>
            <w:tcW w:w="3103" w:type="dxa"/>
            <w:vAlign w:val="top"/>
          </w:tcPr>
          <w:p>
            <w:pPr>
              <w:spacing w:before="39" w:line="217" w:lineRule="auto"/>
              <w:ind w:firstLine="1026" w:firstLineChars="0"/>
              <w:rPr>
                <w:rFonts w:hint="default" w:ascii="Times New Roman" w:hAnsi="Times New Roman" w:eastAsia="仿宋" w:cs="Times New Roman"/>
                <w:color w:val="auto"/>
                <w:kern w:val="2"/>
                <w:sz w:val="21"/>
                <w:szCs w:val="21"/>
                <w:highlight w:val="none"/>
                <w:lang w:val="en-US" w:eastAsia="zh-CN" w:bidi="ar-SA"/>
              </w:rPr>
            </w:pPr>
            <w:r>
              <w:rPr>
                <w:rFonts w:hint="default" w:ascii="Times New Roman" w:hAnsi="Times New Roman" w:eastAsia="仿宋" w:cs="Times New Roman"/>
                <w:color w:val="auto"/>
                <w:spacing w:val="-1"/>
                <w:sz w:val="21"/>
                <w:szCs w:val="21"/>
                <w:highlight w:val="none"/>
              </w:rPr>
              <w:t>基本预备</w:t>
            </w:r>
            <w:r>
              <w:rPr>
                <w:rFonts w:hint="default" w:ascii="Times New Roman" w:hAnsi="Times New Roman" w:eastAsia="仿宋" w:cs="Times New Roman"/>
                <w:color w:val="auto"/>
                <w:sz w:val="21"/>
                <w:szCs w:val="21"/>
                <w:highlight w:val="none"/>
              </w:rPr>
              <w:t>费</w:t>
            </w:r>
          </w:p>
        </w:tc>
        <w:tc>
          <w:tcPr>
            <w:tcW w:w="1107"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092"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005"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053"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160" w:type="dxa"/>
            <w:vAlign w:val="center"/>
          </w:tcPr>
          <w:p>
            <w:pPr>
              <w:spacing w:before="65" w:line="186" w:lineRule="auto"/>
              <w:ind w:firstLine="384" w:firstLineChars="0"/>
              <w:jc w:val="both"/>
              <w:rPr>
                <w:rFonts w:hint="default" w:ascii="Times New Roman" w:hAnsi="Times New Roman" w:eastAsia="仿宋"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5.28</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554" w:type="dxa"/>
            <w:vAlign w:val="top"/>
          </w:tcPr>
          <w:p>
            <w:pPr>
              <w:spacing w:before="70" w:line="182" w:lineRule="auto"/>
              <w:ind w:firstLine="173" w:firstLineChars="0"/>
              <w:rPr>
                <w:rFonts w:hint="default" w:ascii="Times New Roman" w:hAnsi="Times New Roman" w:eastAsia="仿宋" w:cs="Times New Roman"/>
                <w:color w:val="auto"/>
                <w:kern w:val="2"/>
                <w:sz w:val="21"/>
                <w:szCs w:val="21"/>
                <w:highlight w:val="none"/>
                <w:lang w:val="en-US" w:eastAsia="zh-CN" w:bidi="ar-SA"/>
              </w:rPr>
            </w:pPr>
            <w:r>
              <w:rPr>
                <w:rFonts w:hint="default" w:ascii="Times New Roman" w:hAnsi="Times New Roman" w:eastAsia="仿宋" w:cs="Times New Roman"/>
                <w:color w:val="auto"/>
                <w:sz w:val="21"/>
                <w:szCs w:val="21"/>
                <w:highlight w:val="none"/>
              </w:rPr>
              <w:t>Ⅶ</w:t>
            </w:r>
          </w:p>
        </w:tc>
        <w:tc>
          <w:tcPr>
            <w:tcW w:w="3103" w:type="dxa"/>
            <w:vAlign w:val="top"/>
          </w:tcPr>
          <w:p>
            <w:pPr>
              <w:spacing w:before="40" w:line="218" w:lineRule="auto"/>
              <w:ind w:firstLine="1034" w:firstLineChars="0"/>
              <w:rPr>
                <w:rFonts w:hint="default" w:ascii="Times New Roman" w:hAnsi="Times New Roman" w:eastAsia="仿宋" w:cs="Times New Roman"/>
                <w:color w:val="auto"/>
                <w:kern w:val="2"/>
                <w:sz w:val="21"/>
                <w:szCs w:val="21"/>
                <w:highlight w:val="none"/>
                <w:lang w:val="en-US" w:eastAsia="zh-CN" w:bidi="ar-SA"/>
              </w:rPr>
            </w:pPr>
            <w:r>
              <w:rPr>
                <w:rFonts w:hint="default" w:ascii="Times New Roman" w:hAnsi="Times New Roman" w:eastAsia="仿宋" w:cs="Times New Roman"/>
                <w:color w:val="auto"/>
                <w:spacing w:val="-3"/>
                <w:sz w:val="21"/>
                <w:szCs w:val="21"/>
                <w:highlight w:val="none"/>
              </w:rPr>
              <w:t>静</w:t>
            </w:r>
            <w:r>
              <w:rPr>
                <w:rFonts w:hint="default" w:ascii="Times New Roman" w:hAnsi="Times New Roman" w:eastAsia="仿宋" w:cs="Times New Roman"/>
                <w:color w:val="auto"/>
                <w:spacing w:val="-2"/>
                <w:sz w:val="21"/>
                <w:szCs w:val="21"/>
                <w:highlight w:val="none"/>
              </w:rPr>
              <w:t>态总投资</w:t>
            </w:r>
          </w:p>
        </w:tc>
        <w:tc>
          <w:tcPr>
            <w:tcW w:w="1107"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092"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005"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053"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160" w:type="dxa"/>
            <w:vAlign w:val="center"/>
          </w:tcPr>
          <w:p>
            <w:pPr>
              <w:spacing w:before="66" w:line="186" w:lineRule="auto"/>
              <w:ind w:firstLine="420" w:firstLineChars="200"/>
              <w:jc w:val="both"/>
              <w:rPr>
                <w:rFonts w:hint="default" w:ascii="Times New Roman" w:hAnsi="Times New Roman" w:eastAsia="仿宋"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50.72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554" w:type="dxa"/>
            <w:vAlign w:val="top"/>
          </w:tcPr>
          <w:p>
            <w:pPr>
              <w:spacing w:before="71" w:line="182" w:lineRule="auto"/>
              <w:ind w:firstLine="173" w:firstLineChars="0"/>
              <w:rPr>
                <w:rFonts w:hint="default" w:ascii="Times New Roman" w:hAnsi="Times New Roman" w:eastAsia="仿宋" w:cs="Times New Roman"/>
                <w:color w:val="auto"/>
                <w:kern w:val="2"/>
                <w:sz w:val="21"/>
                <w:szCs w:val="21"/>
                <w:highlight w:val="none"/>
                <w:lang w:val="en-US" w:eastAsia="zh-CN" w:bidi="ar-SA"/>
              </w:rPr>
            </w:pPr>
            <w:r>
              <w:rPr>
                <w:rFonts w:hint="default" w:ascii="Times New Roman" w:hAnsi="Times New Roman" w:eastAsia="仿宋" w:cs="Times New Roman"/>
                <w:color w:val="auto"/>
                <w:sz w:val="21"/>
                <w:szCs w:val="21"/>
                <w:highlight w:val="none"/>
              </w:rPr>
              <w:t>Ⅷ</w:t>
            </w:r>
          </w:p>
        </w:tc>
        <w:tc>
          <w:tcPr>
            <w:tcW w:w="3103" w:type="dxa"/>
            <w:vAlign w:val="top"/>
          </w:tcPr>
          <w:p>
            <w:pPr>
              <w:spacing w:before="41" w:line="216" w:lineRule="auto"/>
              <w:ind w:firstLine="608" w:firstLineChars="0"/>
              <w:rPr>
                <w:rFonts w:hint="default" w:ascii="Times New Roman" w:hAnsi="Times New Roman" w:eastAsia="仿宋" w:cs="Times New Roman"/>
                <w:color w:val="auto"/>
                <w:kern w:val="2"/>
                <w:sz w:val="21"/>
                <w:szCs w:val="21"/>
                <w:highlight w:val="none"/>
                <w:lang w:val="en-US" w:eastAsia="zh-CN" w:bidi="ar-SA"/>
              </w:rPr>
            </w:pPr>
            <w:r>
              <w:rPr>
                <w:rFonts w:hint="default" w:ascii="Times New Roman" w:hAnsi="Times New Roman" w:eastAsia="仿宋" w:cs="Times New Roman"/>
                <w:color w:val="auto"/>
                <w:spacing w:val="-1"/>
                <w:sz w:val="21"/>
                <w:szCs w:val="21"/>
                <w:highlight w:val="none"/>
              </w:rPr>
              <w:t>水土保持设施补</w:t>
            </w:r>
            <w:r>
              <w:rPr>
                <w:rFonts w:hint="default" w:ascii="Times New Roman" w:hAnsi="Times New Roman" w:eastAsia="仿宋" w:cs="Times New Roman"/>
                <w:color w:val="auto"/>
                <w:sz w:val="21"/>
                <w:szCs w:val="21"/>
                <w:highlight w:val="none"/>
              </w:rPr>
              <w:t>偿费</w:t>
            </w:r>
          </w:p>
        </w:tc>
        <w:tc>
          <w:tcPr>
            <w:tcW w:w="1107"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092"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005"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053"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160" w:type="dxa"/>
            <w:vAlign w:val="top"/>
          </w:tcPr>
          <w:p>
            <w:pPr>
              <w:spacing w:before="67" w:line="186" w:lineRule="auto"/>
              <w:ind w:firstLine="420" w:firstLineChars="200"/>
              <w:rPr>
                <w:rFonts w:hint="default" w:ascii="Times New Roman" w:hAnsi="Times New Roman" w:eastAsia="仿宋"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7.82</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293" w:hRule="atLeast"/>
        </w:trPr>
        <w:tc>
          <w:tcPr>
            <w:tcW w:w="554" w:type="dxa"/>
            <w:vAlign w:val="top"/>
          </w:tcPr>
          <w:p>
            <w:pPr>
              <w:spacing w:before="72" w:line="181" w:lineRule="auto"/>
              <w:ind w:firstLine="183" w:firstLineChars="0"/>
              <w:rPr>
                <w:rFonts w:hint="default" w:ascii="Times New Roman" w:hAnsi="Times New Roman" w:eastAsia="仿宋" w:cs="Times New Roman"/>
                <w:color w:val="auto"/>
                <w:kern w:val="2"/>
                <w:sz w:val="21"/>
                <w:szCs w:val="21"/>
                <w:highlight w:val="none"/>
                <w:lang w:val="en-US" w:eastAsia="zh-CN" w:bidi="ar-SA"/>
              </w:rPr>
            </w:pPr>
            <w:r>
              <w:rPr>
                <w:rFonts w:hint="default" w:ascii="Times New Roman" w:hAnsi="Times New Roman" w:eastAsia="仿宋" w:cs="Times New Roman"/>
                <w:color w:val="auto"/>
                <w:sz w:val="21"/>
                <w:szCs w:val="21"/>
                <w:highlight w:val="none"/>
              </w:rPr>
              <w:t>Ⅸ</w:t>
            </w:r>
          </w:p>
        </w:tc>
        <w:tc>
          <w:tcPr>
            <w:tcW w:w="3103" w:type="dxa"/>
            <w:vAlign w:val="top"/>
          </w:tcPr>
          <w:p>
            <w:pPr>
              <w:spacing w:before="42" w:line="216" w:lineRule="auto"/>
              <w:ind w:firstLine="605" w:firstLineChars="0"/>
              <w:rPr>
                <w:rFonts w:hint="default" w:ascii="Times New Roman" w:hAnsi="Times New Roman" w:eastAsia="仿宋" w:cs="Times New Roman"/>
                <w:color w:val="auto"/>
                <w:kern w:val="2"/>
                <w:sz w:val="21"/>
                <w:szCs w:val="21"/>
                <w:highlight w:val="none"/>
                <w:lang w:val="en-US" w:eastAsia="zh-CN" w:bidi="ar-SA"/>
              </w:rPr>
            </w:pPr>
            <w:r>
              <w:rPr>
                <w:rFonts w:hint="default" w:ascii="Times New Roman" w:hAnsi="Times New Roman" w:eastAsia="仿宋" w:cs="Times New Roman"/>
                <w:color w:val="auto"/>
                <w:spacing w:val="-1"/>
                <w:sz w:val="21"/>
                <w:szCs w:val="21"/>
                <w:highlight w:val="none"/>
                <w14:textOutline w14:w="2667" w14:cap="flat" w14:cmpd="sng">
                  <w14:solidFill>
                    <w14:srgbClr w14:val="000000"/>
                  </w14:solidFill>
                  <w14:prstDash w14:val="solid"/>
                  <w14:miter w14:val="0"/>
                </w14:textOutline>
              </w:rPr>
              <w:t>水</w:t>
            </w:r>
            <w:r>
              <w:rPr>
                <w:rFonts w:hint="default" w:ascii="Times New Roman" w:hAnsi="Times New Roman" w:eastAsia="仿宋" w:cs="Times New Roman"/>
                <w:color w:val="auto"/>
                <w:sz w:val="21"/>
                <w:szCs w:val="21"/>
                <w:highlight w:val="none"/>
                <w14:textOutline w14:w="2667" w14:cap="flat" w14:cmpd="sng">
                  <w14:solidFill>
                    <w14:srgbClr w14:val="000000"/>
                  </w14:solidFill>
                  <w14:prstDash w14:val="solid"/>
                  <w14:miter w14:val="0"/>
                </w14:textOutline>
              </w:rPr>
              <w:t>土保持工程总投资</w:t>
            </w:r>
          </w:p>
        </w:tc>
        <w:tc>
          <w:tcPr>
            <w:tcW w:w="1107"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092"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005"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053" w:type="dxa"/>
            <w:vAlign w:val="top"/>
          </w:tcPr>
          <w:p>
            <w:pPr>
              <w:rPr>
                <w:rFonts w:hint="default" w:ascii="Times New Roman" w:hAnsi="Times New Roman" w:eastAsia="仿宋" w:cs="Times New Roman"/>
                <w:color w:val="auto"/>
                <w:kern w:val="2"/>
                <w:sz w:val="21"/>
                <w:szCs w:val="24"/>
                <w:highlight w:val="none"/>
                <w:lang w:val="en-US" w:eastAsia="zh-CN" w:bidi="ar-SA"/>
              </w:rPr>
            </w:pPr>
          </w:p>
        </w:tc>
        <w:tc>
          <w:tcPr>
            <w:tcW w:w="1160" w:type="dxa"/>
            <w:vAlign w:val="top"/>
          </w:tcPr>
          <w:p>
            <w:pPr>
              <w:spacing w:before="68" w:line="186" w:lineRule="auto"/>
              <w:ind w:firstLine="449" w:firstLineChars="214"/>
              <w:rPr>
                <w:rFonts w:hint="default" w:ascii="Times New Roman" w:hAnsi="Times New Roman" w:eastAsia="仿宋" w:cs="Times New Roman"/>
                <w:color w:val="auto"/>
                <w:kern w:val="2"/>
                <w:sz w:val="21"/>
                <w:szCs w:val="21"/>
                <w:highlight w:val="none"/>
                <w:lang w:val="en-US" w:eastAsia="zh-CN" w:bidi="ar-SA"/>
              </w:rPr>
            </w:pPr>
            <w:r>
              <w:rPr>
                <w:rFonts w:hint="default" w:ascii="Times New Roman" w:hAnsi="Times New Roman" w:cs="Times New Roman"/>
                <w:color w:val="auto"/>
                <w:kern w:val="2"/>
                <w:sz w:val="21"/>
                <w:szCs w:val="21"/>
                <w:highlight w:val="none"/>
                <w:lang w:val="en-US" w:eastAsia="zh-CN" w:bidi="ar-SA"/>
              </w:rPr>
              <w:t>763.46</w:t>
            </w:r>
          </w:p>
        </w:tc>
      </w:tr>
    </w:tbl>
    <w:p>
      <w:pPr>
        <w:keepNext w:val="0"/>
        <w:keepLines w:val="0"/>
        <w:pageBreakBefore w:val="0"/>
        <w:widowControl w:val="0"/>
        <w:kinsoku/>
        <w:wordWrap/>
        <w:overflowPunct/>
        <w:topLinePunct w:val="0"/>
        <w:autoSpaceDE/>
        <w:autoSpaceDN/>
        <w:bidi w:val="0"/>
        <w:adjustRightInd/>
        <w:snapToGrid/>
        <w:spacing w:line="360" w:lineRule="auto"/>
        <w:jc w:val="both"/>
        <w:textAlignment w:val="auto"/>
        <w:outlineLvl w:val="9"/>
        <w:rPr>
          <w:rFonts w:hint="default" w:ascii="Times New Roman" w:hAnsi="Times New Roman" w:cs="Times New Roman"/>
          <w:color w:val="auto"/>
          <w:sz w:val="24"/>
          <w:szCs w:val="24"/>
          <w:highlight w:val="none"/>
          <w:lang w:val="en-US" w:eastAsia="zh-CN"/>
        </w:rPr>
      </w:pPr>
    </w:p>
    <w:p>
      <w:pPr>
        <w:pStyle w:val="2"/>
        <w:bidi w:val="0"/>
        <w:spacing w:line="360" w:lineRule="auto"/>
        <w:rPr>
          <w:rFonts w:hint="default" w:ascii="Times New Roman" w:hAnsi="Times New Roman" w:cs="Times New Roman"/>
          <w:color w:val="auto"/>
          <w:highlight w:val="none"/>
          <w:lang w:val="en-US" w:eastAsia="zh-CN"/>
        </w:rPr>
        <w:sectPr>
          <w:headerReference r:id="rId29" w:type="default"/>
          <w:pgSz w:w="11906" w:h="16838"/>
          <w:pgMar w:top="1440" w:right="1440" w:bottom="1440" w:left="1440" w:header="851" w:footer="992" w:gutter="0"/>
          <w:pgNumType w:fmt="decimal"/>
          <w:cols w:space="425" w:num="1"/>
          <w:docGrid w:type="lines" w:linePitch="312" w:charSpace="0"/>
        </w:sectPr>
      </w:pPr>
    </w:p>
    <w:p>
      <w:pPr>
        <w:pStyle w:val="2"/>
        <w:bidi w:val="0"/>
        <w:spacing w:line="360" w:lineRule="auto"/>
        <w:rPr>
          <w:rFonts w:hint="default" w:ascii="Times New Roman" w:hAnsi="Times New Roman" w:cs="Times New Roman"/>
          <w:color w:val="auto"/>
          <w:highlight w:val="none"/>
          <w:lang w:val="en-US" w:eastAsia="zh-CN"/>
        </w:rPr>
      </w:pPr>
      <w:bookmarkStart w:id="417" w:name="_Toc8098"/>
      <w:r>
        <w:rPr>
          <w:rFonts w:hint="default" w:ascii="Times New Roman" w:hAnsi="Times New Roman" w:cs="Times New Roman"/>
          <w:color w:val="auto"/>
          <w:highlight w:val="none"/>
          <w:lang w:val="en-US" w:eastAsia="zh-CN"/>
        </w:rPr>
        <w:t>4水土保持工程质量</w:t>
      </w:r>
      <w:bookmarkEnd w:id="417"/>
    </w:p>
    <w:p>
      <w:pPr>
        <w:pStyle w:val="3"/>
        <w:bidi w:val="0"/>
        <w:spacing w:line="360" w:lineRule="auto"/>
        <w:rPr>
          <w:rFonts w:hint="default" w:ascii="Times New Roman" w:hAnsi="Times New Roman" w:cs="Times New Roman"/>
          <w:color w:val="auto"/>
          <w:highlight w:val="none"/>
          <w:lang w:val="en-US" w:eastAsia="zh-CN"/>
        </w:rPr>
      </w:pPr>
      <w:bookmarkStart w:id="418" w:name="_Toc15925"/>
      <w:r>
        <w:rPr>
          <w:rFonts w:hint="default" w:ascii="Times New Roman" w:hAnsi="Times New Roman" w:cs="Times New Roman"/>
          <w:color w:val="auto"/>
          <w:highlight w:val="none"/>
          <w:lang w:val="en-US" w:eastAsia="zh-CN"/>
        </w:rPr>
        <w:t>4.1 质量管理体系</w:t>
      </w:r>
      <w:bookmarkEnd w:id="418"/>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4.1.1 建设单位质量检查体系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1、质量管理体系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在建设过程中，建设单位自始至终把“安全第一、质量第一”这个理念贯穿于工程 建设的全过程，建立了健全的质量管理体系</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制定了有关质量措施</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工程质量得到了保证，没有发生重大质量事故和安全事故。对工程施工进行管理和质量监督，督促设计单位及时提供技施阶段设计文件和图纸</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按规定时间移交测量成果及测量桩点，配合监理单位控制工程施工质量</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参与工程验收，及时将设计、竣工图纸和技术资料归档</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并为 竣工验收及竣工结算提供技术资料。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为加强工程质量管理，提高工程施工质量，实现工程总体目标，在工程建设过程中，建立健全各项规章制度</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将水土保持工作被纳入到主体工程管理，形成的完整的质量管理网络，实行全面工程质量管理。主要体现在公司制定的一系列质量管理制度中，这些制度主要包括：《项目管理手册》、《工程质量管理标准》、《质监记录管理》</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《工程监理 管理》、《招投标管理办法》、《合同管理标准》、《基建物资合同管理》、《质量监督站工作 管理》、《费用开支暂行办法》、《工程开支审批制度》和《月度支付申请报表》等。</w:t>
      </w:r>
    </w:p>
    <w:p>
      <w:pPr>
        <w:keepNext w:val="0"/>
        <w:keepLines w:val="0"/>
        <w:pageBreakBefore w:val="0"/>
        <w:widowControl w:val="0"/>
        <w:numPr>
          <w:ilvl w:val="0"/>
          <w:numId w:val="22"/>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工程招投标制度</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将水土保持措施纳入主体工程招投标文件，一起招标。招标书中要有水土保持要求，明确施工单位防治水土流失的责任，并在施工合同中明确。中标的施工单位应配置水土保持工程施工专业技术人员，加强施工队伍的水土保持技术培训，强化施工队伍的水土保持意识。在工程建设过程中严格按批复的水土保持方案施工，严格执行《开发建设项目水土保持件数规范》等规范标准。</w:t>
      </w:r>
    </w:p>
    <w:p>
      <w:pPr>
        <w:keepNext w:val="0"/>
        <w:keepLines w:val="0"/>
        <w:pageBreakBefore w:val="0"/>
        <w:widowControl w:val="0"/>
        <w:numPr>
          <w:ilvl w:val="0"/>
          <w:numId w:val="22"/>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合同管理标准</w:t>
      </w:r>
    </w:p>
    <w:p>
      <w:pPr>
        <w:keepNext w:val="0"/>
        <w:keepLines w:val="0"/>
        <w:pageBreakBefore w:val="0"/>
        <w:widowControl w:val="0"/>
        <w:numPr>
          <w:ilvl w:val="0"/>
          <w:numId w:val="0"/>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highlight w:val="none"/>
          <w:lang w:val="en-US" w:eastAsia="zh-CN"/>
        </w:rPr>
      </w:pPr>
      <w:r>
        <w:rPr>
          <w:rFonts w:hint="default" w:ascii="Times New Roman" w:hAnsi="Times New Roman" w:eastAsia="仿宋" w:cs="Times New Roman"/>
          <w:color w:val="auto"/>
          <w:sz w:val="24"/>
          <w:szCs w:val="24"/>
          <w:highlight w:val="none"/>
        </w:rPr>
        <w:t>工程建设过程中</w:t>
      </w:r>
      <w:r>
        <w:rPr>
          <w:rFonts w:hint="default" w:ascii="Times New Roman" w:hAnsi="Times New Roman" w:eastAsia="仿宋" w:cs="Times New Roman"/>
          <w:color w:val="auto"/>
          <w:spacing w:val="-84"/>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建设单位与施工单位签订了工程施工协议书（其中包含了水土保 持工程</w:t>
      </w:r>
      <w:r>
        <w:rPr>
          <w:rFonts w:hint="default" w:ascii="Times New Roman" w:hAnsi="Times New Roman" w:eastAsia="仿宋" w:cs="Times New Roman"/>
          <w:color w:val="auto"/>
          <w:spacing w:val="-20"/>
          <w:sz w:val="24"/>
          <w:szCs w:val="24"/>
          <w:highlight w:val="none"/>
        </w:rPr>
        <w:t>），</w:t>
      </w:r>
      <w:r>
        <w:rPr>
          <w:rFonts w:hint="default" w:ascii="Times New Roman" w:hAnsi="Times New Roman" w:eastAsia="仿宋" w:cs="Times New Roman"/>
          <w:color w:val="auto"/>
          <w:sz w:val="24"/>
          <w:szCs w:val="24"/>
          <w:highlight w:val="none"/>
        </w:rPr>
        <w:t>与监理单位签订了工程施工监理合同</w:t>
      </w:r>
      <w:r>
        <w:rPr>
          <w:rFonts w:hint="default" w:ascii="Times New Roman" w:hAnsi="Times New Roman" w:eastAsia="仿宋" w:cs="Times New Roman"/>
          <w:color w:val="auto"/>
          <w:spacing w:val="-20"/>
          <w:sz w:val="24"/>
          <w:szCs w:val="24"/>
          <w:highlight w:val="none"/>
        </w:rPr>
        <w:t>，</w:t>
      </w:r>
      <w:r>
        <w:rPr>
          <w:rFonts w:hint="default" w:ascii="Times New Roman" w:hAnsi="Times New Roman" w:eastAsia="仿宋" w:cs="Times New Roman"/>
          <w:color w:val="auto"/>
          <w:sz w:val="24"/>
          <w:szCs w:val="24"/>
          <w:highlight w:val="none"/>
        </w:rPr>
        <w:t>促使水土保持工程与主体工程同时施 工和监理</w:t>
      </w:r>
      <w:r>
        <w:rPr>
          <w:rFonts w:hint="default" w:ascii="Times New Roman" w:hAnsi="Times New Roman" w:eastAsia="仿宋" w:cs="Times New Roman"/>
          <w:color w:val="auto"/>
          <w:spacing w:val="-29"/>
          <w:sz w:val="24"/>
          <w:szCs w:val="24"/>
          <w:highlight w:val="none"/>
        </w:rPr>
        <w:t>，</w:t>
      </w:r>
      <w:r>
        <w:rPr>
          <w:rFonts w:hint="default" w:ascii="Times New Roman" w:hAnsi="Times New Roman" w:eastAsia="仿宋" w:cs="Times New Roman"/>
          <w:color w:val="auto"/>
          <w:sz w:val="24"/>
          <w:szCs w:val="24"/>
          <w:highlight w:val="none"/>
        </w:rPr>
        <w:t>有效地防治了水土流失</w:t>
      </w:r>
      <w:r>
        <w:rPr>
          <w:rFonts w:hint="default" w:ascii="Times New Roman" w:hAnsi="Times New Roman" w:cs="Times New Roman"/>
          <w:color w:val="auto"/>
          <w:sz w:val="24"/>
          <w:szCs w:val="24"/>
          <w:highlight w:val="none"/>
          <w:lang w:eastAsia="zh-CN"/>
        </w:rPr>
        <w:t>。</w:t>
      </w:r>
    </w:p>
    <w:p>
      <w:pPr>
        <w:keepNext w:val="0"/>
        <w:keepLines w:val="0"/>
        <w:pageBreakBefore w:val="0"/>
        <w:widowControl w:val="0"/>
        <w:numPr>
          <w:ilvl w:val="0"/>
          <w:numId w:val="22"/>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资金管理办法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工程建设项目部严格按照有关财经制度，制定了严格的资金管理制度，坚持按有关 规定管理项目资金，按工程进度拨款,实行项目报账制，严格控制下拨工程资金，实行了专户存储，保证了专款专用。资金使用情况按施工单位的工程进度支付工程进度款，保证了工程顺利实施，各参建单位都能按合同条款执行，未发生经济合同的纠纷问题。</w:t>
      </w:r>
    </w:p>
    <w:p>
      <w:pPr>
        <w:keepNext w:val="0"/>
        <w:keepLines w:val="0"/>
        <w:pageBreakBefore w:val="0"/>
        <w:widowControl w:val="0"/>
        <w:numPr>
          <w:ilvl w:val="0"/>
          <w:numId w:val="22"/>
        </w:numPr>
        <w:kinsoku/>
        <w:wordWrap/>
        <w:overflowPunct/>
        <w:topLinePunct w:val="0"/>
        <w:autoSpaceDE/>
        <w:autoSpaceDN/>
        <w:bidi w:val="0"/>
        <w:adjustRightInd/>
        <w:snapToGrid/>
        <w:spacing w:line="360" w:lineRule="auto"/>
        <w:ind w:left="0" w:leftChars="0"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文档管理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本工程从立项开始就重视工程档案的管理，建设单位安排专人负责本工程的挡案管理，对各类资料做到及时收集、归类、整理。项目的立项、设计、施工、监理、质监及财务会计等资料基本齐全，符合建档要求。</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4.1.2 设计单位控制体系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1．设计质量保证体系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按照道路工程设计规范和技术标准编写设计报告，以管理者代表为核心的技术质量保障渠道、以项目负责人为核心的沟通渠道等组织实施体系的运行。校审程序完成合格后再打印装订成册，以保证质量目标和客户利益的有效统一， 为业主提供满意服务。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2．设计质量保证措施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设计全过程严格按照质量管理程序， 强化质量控制。在项目实施各阶段， 编制设计大纲，阐述项目概况及业主要求</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明确设计依据</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提出各专业的设计原则和设计控制进度，报审定人审批。设计作业根据批准的设计大纲开展，在设计作业中实行设计全过程 的质量控制</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在设计接口、设计输入、设计输出、设计评审、设计验证、设计确认和设 计变更等方面均按照质量体系要求进行。</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3.建设期往来设计文件质量控制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建设期工程往来设计文件主要是设计文本、设计图纸等文件。设计方与业主的文件往来，收发人严格执行签收手续，存档管理，作为今后查证的历史依据。</w:t>
      </w:r>
    </w:p>
    <w:p>
      <w:pPr>
        <w:pStyle w:val="4"/>
        <w:bidi w:val="0"/>
        <w:rPr>
          <w:rFonts w:hint="default" w:ascii="Times New Roman" w:hAnsi="Times New Roman" w:eastAsia="黑体" w:cs="Times New Roman"/>
          <w:color w:val="auto"/>
          <w:szCs w:val="24"/>
          <w:highlight w:val="none"/>
        </w:rPr>
      </w:pPr>
      <w:r>
        <w:rPr>
          <w:rFonts w:hint="default" w:ascii="Times New Roman" w:hAnsi="Times New Roman" w:cs="Times New Roman"/>
          <w:color w:val="auto"/>
          <w:highlight w:val="none"/>
        </w:rPr>
        <w:t>4.1.3 施工单位质量保证体系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1、质量管理体系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施工单位认真编制了</w:t>
      </w:r>
      <w:r>
        <w:rPr>
          <w:rFonts w:hint="default" w:ascii="Times New Roman" w:hAnsi="Times New Roman" w:eastAsia="Times New Roman" w:cs="Times New Roman"/>
          <w:color w:val="auto"/>
          <w:sz w:val="24"/>
          <w:szCs w:val="24"/>
          <w:highlight w:val="none"/>
        </w:rPr>
        <w:t>“</w:t>
      </w:r>
      <w:r>
        <w:rPr>
          <w:rFonts w:hint="default" w:ascii="Times New Roman" w:hAnsi="Times New Roman" w:eastAsia="仿宋" w:cs="Times New Roman"/>
          <w:color w:val="auto"/>
          <w:sz w:val="24"/>
          <w:szCs w:val="24"/>
          <w:highlight w:val="none"/>
        </w:rPr>
        <w:t>施工组织设计</w:t>
      </w:r>
      <w:r>
        <w:rPr>
          <w:rFonts w:hint="default" w:ascii="Times New Roman" w:hAnsi="Times New Roman" w:eastAsia="Times New Roman" w:cs="Times New Roman"/>
          <w:color w:val="auto"/>
          <w:sz w:val="24"/>
          <w:szCs w:val="24"/>
          <w:highlight w:val="none"/>
        </w:rPr>
        <w:t>”</w:t>
      </w:r>
      <w:r>
        <w:rPr>
          <w:rFonts w:hint="default" w:ascii="Times New Roman" w:hAnsi="Times New Roman" w:eastAsia="仿宋" w:cs="Times New Roman"/>
          <w:color w:val="auto"/>
          <w:spacing w:val="-17"/>
          <w:sz w:val="24"/>
          <w:szCs w:val="24"/>
          <w:highlight w:val="none"/>
        </w:rPr>
        <w:t>，</w:t>
      </w:r>
      <w:r>
        <w:rPr>
          <w:rFonts w:hint="default" w:ascii="Times New Roman" w:hAnsi="Times New Roman" w:eastAsia="仿宋" w:cs="Times New Roman"/>
          <w:color w:val="auto"/>
          <w:sz w:val="24"/>
          <w:szCs w:val="24"/>
          <w:highlight w:val="none"/>
        </w:rPr>
        <w:t>根据国家现有技术标准和规范</w:t>
      </w:r>
      <w:r>
        <w:rPr>
          <w:rFonts w:hint="default" w:ascii="Times New Roman" w:hAnsi="Times New Roman" w:eastAsia="仿宋" w:cs="Times New Roman"/>
          <w:color w:val="auto"/>
          <w:spacing w:val="-17"/>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制定了施工方法</w:t>
      </w:r>
      <w:r>
        <w:rPr>
          <w:rFonts w:hint="default" w:ascii="Times New Roman" w:hAnsi="Times New Roman" w:eastAsia="仿宋" w:cs="Times New Roman"/>
          <w:color w:val="auto"/>
          <w:spacing w:val="-15"/>
          <w:sz w:val="24"/>
          <w:szCs w:val="24"/>
          <w:highlight w:val="none"/>
        </w:rPr>
        <w:t>、</w:t>
      </w:r>
      <w:r>
        <w:rPr>
          <w:rFonts w:hint="default" w:ascii="Times New Roman" w:hAnsi="Times New Roman" w:eastAsia="仿宋" w:cs="Times New Roman"/>
          <w:color w:val="auto"/>
          <w:sz w:val="24"/>
          <w:szCs w:val="24"/>
          <w:highlight w:val="none"/>
        </w:rPr>
        <w:t>操作规程</w:t>
      </w:r>
      <w:r>
        <w:rPr>
          <w:rFonts w:hint="default" w:ascii="Times New Roman" w:hAnsi="Times New Roman" w:eastAsia="仿宋" w:cs="Times New Roman"/>
          <w:color w:val="auto"/>
          <w:spacing w:val="-14"/>
          <w:sz w:val="24"/>
          <w:szCs w:val="24"/>
          <w:highlight w:val="none"/>
        </w:rPr>
        <w:t>。</w:t>
      </w:r>
      <w:r>
        <w:rPr>
          <w:rFonts w:hint="default" w:ascii="Times New Roman" w:hAnsi="Times New Roman" w:eastAsia="仿宋" w:cs="Times New Roman"/>
          <w:color w:val="auto"/>
          <w:sz w:val="24"/>
          <w:szCs w:val="24"/>
          <w:highlight w:val="none"/>
        </w:rPr>
        <w:t>各种施工材料使用之前必须进行质量认定</w:t>
      </w:r>
      <w:r>
        <w:rPr>
          <w:rFonts w:hint="default" w:ascii="Times New Roman" w:hAnsi="Times New Roman" w:eastAsia="仿宋" w:cs="Times New Roman"/>
          <w:color w:val="auto"/>
          <w:spacing w:val="-14"/>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采购的物资</w:t>
      </w:r>
      <w:r>
        <w:rPr>
          <w:rFonts w:hint="default" w:ascii="Times New Roman" w:hAnsi="Times New Roman" w:eastAsia="仿宋" w:cs="Times New Roman"/>
          <w:color w:val="auto"/>
          <w:spacing w:val="-14"/>
          <w:sz w:val="24"/>
          <w:szCs w:val="24"/>
          <w:highlight w:val="none"/>
        </w:rPr>
        <w:t>、</w:t>
      </w:r>
      <w:r>
        <w:rPr>
          <w:rFonts w:hint="default" w:ascii="Times New Roman" w:hAnsi="Times New Roman" w:eastAsia="仿宋" w:cs="Times New Roman"/>
          <w:color w:val="auto"/>
          <w:sz w:val="24"/>
          <w:szCs w:val="24"/>
          <w:highlight w:val="none"/>
        </w:rPr>
        <w:t>设备必须有出厂合格证书和质量保证书方能入库使用</w:t>
      </w:r>
      <w:r>
        <w:rPr>
          <w:rFonts w:hint="default" w:ascii="Times New Roman" w:hAnsi="Times New Roman" w:eastAsia="仿宋" w:cs="Times New Roman"/>
          <w:color w:val="auto"/>
          <w:spacing w:val="-11"/>
          <w:sz w:val="24"/>
          <w:szCs w:val="24"/>
          <w:highlight w:val="none"/>
        </w:rPr>
        <w:t>。</w:t>
      </w:r>
      <w:r>
        <w:rPr>
          <w:rFonts w:hint="default" w:ascii="Times New Roman" w:hAnsi="Times New Roman" w:eastAsia="仿宋" w:cs="Times New Roman"/>
          <w:color w:val="auto"/>
          <w:sz w:val="24"/>
          <w:szCs w:val="24"/>
          <w:highlight w:val="none"/>
        </w:rPr>
        <w:t>以</w:t>
      </w:r>
      <w:r>
        <w:rPr>
          <w:rFonts w:hint="default" w:ascii="Times New Roman" w:hAnsi="Times New Roman" w:eastAsia="Times New Roman" w:cs="Times New Roman"/>
          <w:color w:val="auto"/>
          <w:sz w:val="24"/>
          <w:szCs w:val="24"/>
          <w:highlight w:val="none"/>
        </w:rPr>
        <w:t>“</w:t>
      </w:r>
      <w:r>
        <w:rPr>
          <w:rFonts w:hint="default" w:ascii="Times New Roman" w:hAnsi="Times New Roman" w:eastAsia="仿宋" w:cs="Times New Roman"/>
          <w:color w:val="auto"/>
          <w:sz w:val="24"/>
          <w:szCs w:val="24"/>
          <w:highlight w:val="none"/>
        </w:rPr>
        <w:t>百年大计</w:t>
      </w:r>
      <w:r>
        <w:rPr>
          <w:rFonts w:hint="default" w:ascii="Times New Roman" w:hAnsi="Times New Roman" w:eastAsia="仿宋" w:cs="Times New Roman"/>
          <w:color w:val="auto"/>
          <w:spacing w:val="-10"/>
          <w:sz w:val="24"/>
          <w:szCs w:val="24"/>
          <w:highlight w:val="none"/>
        </w:rPr>
        <w:t>、</w:t>
      </w:r>
      <w:r>
        <w:rPr>
          <w:rFonts w:hint="default" w:ascii="Times New Roman" w:hAnsi="Times New Roman" w:eastAsia="仿宋" w:cs="Times New Roman"/>
          <w:color w:val="auto"/>
          <w:sz w:val="24"/>
          <w:szCs w:val="24"/>
          <w:highlight w:val="none"/>
        </w:rPr>
        <w:t>质量第一</w:t>
      </w:r>
      <w:r>
        <w:rPr>
          <w:rFonts w:hint="default" w:ascii="Times New Roman" w:hAnsi="Times New Roman" w:eastAsia="Times New Roman" w:cs="Times New Roman"/>
          <w:color w:val="auto"/>
          <w:sz w:val="24"/>
          <w:szCs w:val="24"/>
          <w:highlight w:val="none"/>
        </w:rPr>
        <w:t>”</w:t>
      </w:r>
      <w:r>
        <w:rPr>
          <w:rFonts w:hint="default" w:ascii="Times New Roman" w:hAnsi="Times New Roman" w:eastAsia="仿宋" w:cs="Times New Roman"/>
          <w:color w:val="auto"/>
          <w:sz w:val="24"/>
          <w:szCs w:val="24"/>
          <w:highlight w:val="none"/>
        </w:rPr>
        <w:t>为指导方针</w:t>
      </w:r>
      <w:r>
        <w:rPr>
          <w:rFonts w:hint="default" w:ascii="Times New Roman" w:hAnsi="Times New Roman" w:eastAsia="仿宋" w:cs="Times New Roman"/>
          <w:color w:val="auto"/>
          <w:spacing w:val="-10"/>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加强工程质量意识</w:t>
      </w:r>
      <w:r>
        <w:rPr>
          <w:rFonts w:hint="default" w:ascii="Times New Roman" w:hAnsi="Times New Roman" w:eastAsia="仿宋" w:cs="Times New Roman"/>
          <w:color w:val="auto"/>
          <w:spacing w:val="-20"/>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建立健全质量保证体系</w:t>
      </w:r>
      <w:r>
        <w:rPr>
          <w:rFonts w:hint="default" w:ascii="Times New Roman" w:hAnsi="Times New Roman" w:eastAsia="仿宋" w:cs="Times New Roman"/>
          <w:color w:val="auto"/>
          <w:spacing w:val="-19"/>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严格按照设计图纸和有关规范进行施工</w:t>
      </w:r>
      <w:r>
        <w:rPr>
          <w:rFonts w:hint="default" w:ascii="Times New Roman" w:hAnsi="Times New Roman" w:eastAsia="仿宋" w:cs="Times New Roman"/>
          <w:color w:val="auto"/>
          <w:spacing w:val="-19"/>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各工序推行</w:t>
      </w:r>
      <w:r>
        <w:rPr>
          <w:rFonts w:hint="default" w:ascii="Times New Roman" w:hAnsi="Times New Roman" w:eastAsia="Times New Roman" w:cs="Times New Roman"/>
          <w:color w:val="auto"/>
          <w:sz w:val="24"/>
          <w:szCs w:val="24"/>
          <w:highlight w:val="none"/>
        </w:rPr>
        <w:t>“</w:t>
      </w:r>
      <w:r>
        <w:rPr>
          <w:rFonts w:hint="default" w:ascii="Times New Roman" w:hAnsi="Times New Roman" w:eastAsia="仿宋" w:cs="Times New Roman"/>
          <w:color w:val="auto"/>
          <w:sz w:val="24"/>
          <w:szCs w:val="24"/>
          <w:highlight w:val="none"/>
        </w:rPr>
        <w:t>个人自检</w:t>
      </w:r>
      <w:r>
        <w:rPr>
          <w:rFonts w:hint="default" w:ascii="Times New Roman" w:hAnsi="Times New Roman" w:eastAsia="仿宋" w:cs="Times New Roman"/>
          <w:color w:val="auto"/>
          <w:spacing w:val="-50"/>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组互收检</w:t>
      </w:r>
      <w:r>
        <w:rPr>
          <w:rFonts w:hint="default" w:ascii="Times New Roman" w:hAnsi="Times New Roman" w:eastAsia="仿宋" w:cs="Times New Roman"/>
          <w:color w:val="auto"/>
          <w:spacing w:val="-50"/>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质检部门复检</w:t>
      </w:r>
      <w:r>
        <w:rPr>
          <w:rFonts w:hint="default" w:ascii="Times New Roman" w:hAnsi="Times New Roman" w:eastAsia="Times New Roman" w:cs="Times New Roman"/>
          <w:color w:val="auto"/>
          <w:sz w:val="24"/>
          <w:szCs w:val="24"/>
          <w:highlight w:val="none"/>
        </w:rPr>
        <w:t>”</w:t>
      </w:r>
      <w:r>
        <w:rPr>
          <w:rFonts w:hint="default" w:ascii="Times New Roman" w:hAnsi="Times New Roman" w:eastAsia="仿宋" w:cs="Times New Roman"/>
          <w:color w:val="auto"/>
          <w:sz w:val="24"/>
          <w:szCs w:val="24"/>
          <w:highlight w:val="none"/>
        </w:rPr>
        <w:t>的内部三级验收</w:t>
      </w:r>
      <w:r>
        <w:rPr>
          <w:rFonts w:hint="default" w:ascii="Times New Roman" w:hAnsi="Times New Roman" w:eastAsia="仿宋" w:cs="Times New Roman"/>
          <w:color w:val="auto"/>
          <w:spacing w:val="-50"/>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做到施工标准化规范化</w:t>
      </w:r>
      <w:r>
        <w:rPr>
          <w:rFonts w:hint="default" w:ascii="Times New Roman" w:hAnsi="Times New Roman" w:eastAsia="仿宋" w:cs="Times New Roman"/>
          <w:color w:val="auto"/>
          <w:spacing w:val="-50"/>
          <w:sz w:val="24"/>
          <w:szCs w:val="24"/>
          <w:highlight w:val="none"/>
        </w:rPr>
        <w:t>。</w:t>
      </w:r>
      <w:r>
        <w:rPr>
          <w:rFonts w:hint="default" w:ascii="Times New Roman" w:hAnsi="Times New Roman" w:eastAsia="仿宋" w:cs="Times New Roman"/>
          <w:color w:val="auto"/>
          <w:sz w:val="24"/>
          <w:szCs w:val="24"/>
          <w:highlight w:val="none"/>
        </w:rPr>
        <w:t>在确保总工期条件下</w:t>
      </w:r>
      <w:r>
        <w:rPr>
          <w:rFonts w:hint="default" w:ascii="Times New Roman" w:hAnsi="Times New Roman" w:eastAsia="仿宋" w:cs="Times New Roman"/>
          <w:color w:val="auto"/>
          <w:spacing w:val="-20"/>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向业主提供符合设计标准要求的成套设备</w:t>
      </w:r>
      <w:r>
        <w:rPr>
          <w:rFonts w:hint="default" w:ascii="Times New Roman" w:hAnsi="Times New Roman" w:eastAsia="仿宋" w:cs="Times New Roman"/>
          <w:color w:val="auto"/>
          <w:spacing w:val="-19"/>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实现社会效益</w:t>
      </w:r>
      <w:r>
        <w:rPr>
          <w:rFonts w:hint="default" w:ascii="Times New Roman" w:hAnsi="Times New Roman" w:eastAsia="仿宋" w:cs="Times New Roman"/>
          <w:color w:val="auto"/>
          <w:spacing w:val="-19"/>
          <w:sz w:val="24"/>
          <w:szCs w:val="24"/>
          <w:highlight w:val="none"/>
        </w:rPr>
        <w:t>、</w:t>
      </w:r>
      <w:r>
        <w:rPr>
          <w:rFonts w:hint="default" w:ascii="Times New Roman" w:hAnsi="Times New Roman" w:eastAsia="仿宋" w:cs="Times New Roman"/>
          <w:color w:val="auto"/>
          <w:sz w:val="24"/>
          <w:szCs w:val="24"/>
          <w:highlight w:val="none"/>
        </w:rPr>
        <w:t>经济效益双丰收</w:t>
      </w:r>
      <w:r>
        <w:rPr>
          <w:rFonts w:hint="default" w:ascii="Times New Roman" w:hAnsi="Times New Roman" w:eastAsia="仿宋" w:cs="Times New Roman"/>
          <w:color w:val="auto"/>
          <w:spacing w:val="-47"/>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建设管理部及业务人员对本部门分管业务工作的质量负责。建设管理部对所属工程进行质量监督，实施质量保证（把关）</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开展预防、报告等职能，由此组成现场质保体系和质量管控系统，置工程质量于控制之下。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2、质量管理制度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(1)坚决执行“三个狠抓，一个经常”的工作方法。</w:t>
      </w:r>
    </w:p>
    <w:p>
      <w:pPr>
        <w:keepNext w:val="0"/>
        <w:keepLines w:val="0"/>
        <w:pageBreakBefore w:val="0"/>
        <w:widowControl w:val="0"/>
        <w:kinsoku/>
        <w:wordWrap/>
        <w:overflowPunct/>
        <w:topLinePunct w:val="0"/>
        <w:autoSpaceDE/>
        <w:autoSpaceDN/>
        <w:bidi w:val="0"/>
        <w:adjustRightInd/>
        <w:snapToGrid/>
        <w:spacing w:before="201" w:line="360" w:lineRule="auto"/>
        <w:ind w:left="42" w:right="29" w:firstLine="488"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color w:val="auto"/>
          <w:spacing w:val="2"/>
          <w:sz w:val="24"/>
          <w:szCs w:val="24"/>
          <w:highlight w:val="none"/>
        </w:rPr>
        <w:t>A</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pacing w:val="1"/>
          <w:sz w:val="24"/>
          <w:szCs w:val="24"/>
          <w:highlight w:val="none"/>
        </w:rPr>
        <w:t>施工前期</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pacing w:val="1"/>
          <w:sz w:val="24"/>
          <w:szCs w:val="24"/>
          <w:highlight w:val="none"/>
        </w:rPr>
        <w:t>以</w:t>
      </w:r>
      <w:r>
        <w:rPr>
          <w:rFonts w:hint="default" w:ascii="Times New Roman" w:hAnsi="Times New Roman" w:eastAsia="Times New Roman" w:cs="Times New Roman"/>
          <w:color w:val="auto"/>
          <w:spacing w:val="1"/>
          <w:sz w:val="24"/>
          <w:szCs w:val="24"/>
          <w:highlight w:val="none"/>
        </w:rPr>
        <w:t>“</w:t>
      </w:r>
      <w:r>
        <w:rPr>
          <w:rFonts w:hint="default" w:ascii="Times New Roman" w:hAnsi="Times New Roman" w:eastAsia="仿宋" w:cs="Times New Roman"/>
          <w:color w:val="auto"/>
          <w:spacing w:val="1"/>
          <w:sz w:val="24"/>
          <w:szCs w:val="24"/>
          <w:highlight w:val="none"/>
        </w:rPr>
        <w:t>施工技术准备工作计划</w:t>
      </w:r>
      <w:r>
        <w:rPr>
          <w:rFonts w:hint="default" w:ascii="Times New Roman" w:hAnsi="Times New Roman" w:eastAsia="Times New Roman" w:cs="Times New Roman"/>
          <w:color w:val="auto"/>
          <w:spacing w:val="1"/>
          <w:sz w:val="24"/>
          <w:szCs w:val="24"/>
          <w:highlight w:val="none"/>
        </w:rPr>
        <w:t>”</w:t>
      </w:r>
      <w:r>
        <w:rPr>
          <w:rFonts w:hint="default" w:ascii="Times New Roman" w:hAnsi="Times New Roman" w:eastAsia="仿宋" w:cs="Times New Roman"/>
          <w:color w:val="auto"/>
          <w:spacing w:val="1"/>
          <w:sz w:val="24"/>
          <w:szCs w:val="24"/>
          <w:highlight w:val="none"/>
        </w:rPr>
        <w:t>为中心</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pacing w:val="1"/>
          <w:sz w:val="24"/>
          <w:szCs w:val="24"/>
          <w:highlight w:val="none"/>
        </w:rPr>
        <w:t>狠抓各项施工技术革新准备工</w:t>
      </w:r>
      <w:r>
        <w:rPr>
          <w:rFonts w:hint="default" w:ascii="Times New Roman" w:hAnsi="Times New Roman" w:eastAsia="仿宋" w:cs="Times New Roman"/>
          <w:color w:val="auto"/>
          <w:sz w:val="24"/>
          <w:szCs w:val="24"/>
          <w:highlight w:val="none"/>
        </w:rPr>
        <w:t>作</w:t>
      </w:r>
      <w:r>
        <w:rPr>
          <w:rFonts w:hint="default" w:ascii="Times New Roman" w:hAnsi="Times New Roman" w:eastAsia="仿宋" w:cs="Times New Roman"/>
          <w:color w:val="auto"/>
          <w:spacing w:val="-20"/>
          <w:sz w:val="24"/>
          <w:szCs w:val="24"/>
          <w:highlight w:val="none"/>
        </w:rPr>
        <w:t>，</w:t>
      </w:r>
      <w:r>
        <w:rPr>
          <w:rFonts w:hint="default" w:ascii="Times New Roman" w:hAnsi="Times New Roman" w:eastAsia="仿宋" w:cs="Times New Roman"/>
          <w:color w:val="auto"/>
          <w:sz w:val="24"/>
          <w:szCs w:val="24"/>
          <w:highlight w:val="none"/>
        </w:rPr>
        <w:t>使工程各项条件都在施工前期得到解决</w:t>
      </w:r>
      <w:r>
        <w:rPr>
          <w:rFonts w:hint="default" w:ascii="Times New Roman" w:hAnsi="Times New Roman" w:eastAsia="仿宋" w:cs="Times New Roman"/>
          <w:color w:val="auto"/>
          <w:spacing w:val="-20"/>
          <w:sz w:val="24"/>
          <w:szCs w:val="24"/>
          <w:highlight w:val="none"/>
        </w:rPr>
        <w:t>，</w:t>
      </w:r>
      <w:r>
        <w:rPr>
          <w:rFonts w:hint="default" w:ascii="Times New Roman" w:hAnsi="Times New Roman" w:eastAsia="仿宋" w:cs="Times New Roman"/>
          <w:color w:val="auto"/>
          <w:sz w:val="24"/>
          <w:szCs w:val="24"/>
          <w:highlight w:val="none"/>
        </w:rPr>
        <w:t>以确保工程质量</w:t>
      </w:r>
      <w:r>
        <w:rPr>
          <w:rFonts w:hint="default" w:ascii="Times New Roman" w:hAnsi="Times New Roman" w:eastAsia="仿宋" w:cs="Times New Roman"/>
          <w:color w:val="auto"/>
          <w:spacing w:val="-19"/>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left="38" w:right="28" w:firstLine="488"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color w:val="auto"/>
          <w:spacing w:val="2"/>
          <w:sz w:val="24"/>
          <w:szCs w:val="24"/>
          <w:highlight w:val="none"/>
        </w:rPr>
        <w:t>B</w:t>
      </w:r>
      <w:r>
        <w:rPr>
          <w:rFonts w:hint="default" w:ascii="Times New Roman" w:hAnsi="Times New Roman" w:eastAsia="仿宋" w:cs="Times New Roman"/>
          <w:color w:val="auto"/>
          <w:spacing w:val="2"/>
          <w:sz w:val="24"/>
          <w:szCs w:val="24"/>
          <w:highlight w:val="none"/>
        </w:rPr>
        <w:t>．施工中期：以</w:t>
      </w:r>
      <w:r>
        <w:rPr>
          <w:rFonts w:hint="default" w:ascii="Times New Roman" w:hAnsi="Times New Roman" w:eastAsia="Times New Roman" w:cs="Times New Roman"/>
          <w:color w:val="auto"/>
          <w:spacing w:val="2"/>
          <w:sz w:val="24"/>
          <w:szCs w:val="24"/>
          <w:highlight w:val="none"/>
        </w:rPr>
        <w:t>“</w:t>
      </w:r>
      <w:r>
        <w:rPr>
          <w:rFonts w:hint="default" w:ascii="Times New Roman" w:hAnsi="Times New Roman" w:eastAsia="仿宋" w:cs="Times New Roman"/>
          <w:color w:val="auto"/>
          <w:spacing w:val="2"/>
          <w:sz w:val="24"/>
          <w:szCs w:val="24"/>
          <w:highlight w:val="none"/>
        </w:rPr>
        <w:t>施工进度计</w:t>
      </w:r>
      <w:r>
        <w:rPr>
          <w:rFonts w:hint="default" w:ascii="Times New Roman" w:hAnsi="Times New Roman" w:eastAsia="仿宋" w:cs="Times New Roman"/>
          <w:color w:val="auto"/>
          <w:spacing w:val="1"/>
          <w:sz w:val="24"/>
          <w:szCs w:val="24"/>
          <w:highlight w:val="none"/>
        </w:rPr>
        <w:t>划</w:t>
      </w:r>
      <w:r>
        <w:rPr>
          <w:rFonts w:hint="default" w:ascii="Times New Roman" w:hAnsi="Times New Roman" w:eastAsia="Times New Roman" w:cs="Times New Roman"/>
          <w:color w:val="auto"/>
          <w:spacing w:val="1"/>
          <w:sz w:val="24"/>
          <w:szCs w:val="24"/>
          <w:highlight w:val="none"/>
        </w:rPr>
        <w:t>”</w:t>
      </w:r>
      <w:r>
        <w:rPr>
          <w:rFonts w:hint="default" w:ascii="Times New Roman" w:hAnsi="Times New Roman" w:eastAsia="仿宋" w:cs="Times New Roman"/>
          <w:color w:val="auto"/>
          <w:spacing w:val="1"/>
          <w:sz w:val="24"/>
          <w:szCs w:val="24"/>
          <w:highlight w:val="none"/>
        </w:rPr>
        <w:t>为中心</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pacing w:val="1"/>
          <w:sz w:val="24"/>
          <w:szCs w:val="24"/>
          <w:highlight w:val="none"/>
        </w:rPr>
        <w:t>狠抓施工组织设计的落实</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pacing w:val="1"/>
          <w:sz w:val="24"/>
          <w:szCs w:val="24"/>
          <w:highlight w:val="none"/>
        </w:rPr>
        <w:t>及时平衡调</w:t>
      </w:r>
      <w:r>
        <w:rPr>
          <w:rFonts w:hint="default" w:ascii="Times New Roman" w:hAnsi="Times New Roman" w:eastAsia="仿宋" w:cs="Times New Roman"/>
          <w:color w:val="auto"/>
          <w:sz w:val="24"/>
          <w:szCs w:val="24"/>
          <w:highlight w:val="none"/>
        </w:rPr>
        <w:t xml:space="preserve"> 度</w:t>
      </w:r>
      <w:r>
        <w:rPr>
          <w:rFonts w:hint="default" w:ascii="Times New Roman" w:hAnsi="Times New Roman" w:eastAsia="仿宋" w:cs="Times New Roman"/>
          <w:color w:val="auto"/>
          <w:spacing w:val="-15"/>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采取有效措施</w:t>
      </w:r>
      <w:r>
        <w:rPr>
          <w:rFonts w:hint="default" w:ascii="Times New Roman" w:hAnsi="Times New Roman" w:eastAsia="仿宋" w:cs="Times New Roman"/>
          <w:color w:val="auto"/>
          <w:spacing w:val="-15"/>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确保工程进度按进度计划节点实现</w:t>
      </w:r>
      <w:r>
        <w:rPr>
          <w:rFonts w:hint="default" w:ascii="Times New Roman" w:hAnsi="Times New Roman" w:eastAsia="仿宋" w:cs="Times New Roman"/>
          <w:color w:val="auto"/>
          <w:spacing w:val="-14"/>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坚持按图纸</w:t>
      </w:r>
      <w:r>
        <w:rPr>
          <w:rFonts w:hint="default" w:ascii="Times New Roman" w:hAnsi="Times New Roman" w:eastAsia="仿宋" w:cs="Times New Roman"/>
          <w:color w:val="auto"/>
          <w:spacing w:val="-14"/>
          <w:sz w:val="24"/>
          <w:szCs w:val="24"/>
          <w:highlight w:val="none"/>
        </w:rPr>
        <w:t>、</w:t>
      </w:r>
      <w:r>
        <w:rPr>
          <w:rFonts w:hint="default" w:ascii="Times New Roman" w:hAnsi="Times New Roman" w:eastAsia="仿宋" w:cs="Times New Roman"/>
          <w:color w:val="auto"/>
          <w:sz w:val="24"/>
          <w:szCs w:val="24"/>
          <w:highlight w:val="none"/>
        </w:rPr>
        <w:t>规范进行制造和 安装</w:t>
      </w:r>
      <w:r>
        <w:rPr>
          <w:rFonts w:hint="default" w:ascii="Times New Roman" w:hAnsi="Times New Roman" w:eastAsia="仿宋" w:cs="Times New Roman"/>
          <w:color w:val="auto"/>
          <w:spacing w:val="-27"/>
          <w:sz w:val="24"/>
          <w:szCs w:val="24"/>
          <w:highlight w:val="none"/>
        </w:rPr>
        <w:t>，</w:t>
      </w:r>
      <w:r>
        <w:rPr>
          <w:rFonts w:hint="default" w:ascii="Times New Roman" w:hAnsi="Times New Roman" w:eastAsia="仿宋" w:cs="Times New Roman"/>
          <w:color w:val="auto"/>
          <w:sz w:val="24"/>
          <w:szCs w:val="24"/>
          <w:highlight w:val="none"/>
        </w:rPr>
        <w:t>严格工序质量控制</w:t>
      </w:r>
      <w:r>
        <w:rPr>
          <w:rFonts w:hint="default" w:ascii="Times New Roman" w:hAnsi="Times New Roman" w:eastAsia="仿宋" w:cs="Times New Roman"/>
          <w:color w:val="auto"/>
          <w:spacing w:val="-26"/>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1" w:line="360" w:lineRule="auto"/>
        <w:ind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color w:val="auto"/>
          <w:sz w:val="24"/>
          <w:szCs w:val="24"/>
          <w:highlight w:val="none"/>
        </w:rPr>
        <w:t>C</w:t>
      </w:r>
      <w:r>
        <w:rPr>
          <w:rFonts w:hint="default" w:ascii="Times New Roman" w:hAnsi="Times New Roman" w:eastAsia="仿宋" w:cs="Times New Roman"/>
          <w:color w:val="auto"/>
          <w:spacing w:val="-14"/>
          <w:sz w:val="24"/>
          <w:szCs w:val="24"/>
          <w:highlight w:val="none"/>
        </w:rPr>
        <w:t>．</w:t>
      </w:r>
      <w:r>
        <w:rPr>
          <w:rFonts w:hint="default" w:ascii="Times New Roman" w:hAnsi="Times New Roman" w:eastAsia="仿宋" w:cs="Times New Roman"/>
          <w:color w:val="auto"/>
          <w:sz w:val="24"/>
          <w:szCs w:val="24"/>
          <w:highlight w:val="none"/>
        </w:rPr>
        <w:t>施工后期</w:t>
      </w:r>
      <w:r>
        <w:rPr>
          <w:rFonts w:hint="default" w:ascii="Times New Roman" w:hAnsi="Times New Roman" w:eastAsia="仿宋" w:cs="Times New Roman"/>
          <w:color w:val="auto"/>
          <w:spacing w:val="-14"/>
          <w:sz w:val="24"/>
          <w:szCs w:val="24"/>
          <w:highlight w:val="none"/>
        </w:rPr>
        <w:t>：</w:t>
      </w:r>
      <w:r>
        <w:rPr>
          <w:rFonts w:hint="default" w:ascii="Times New Roman" w:hAnsi="Times New Roman" w:eastAsia="仿宋" w:cs="Times New Roman"/>
          <w:color w:val="auto"/>
          <w:sz w:val="24"/>
          <w:szCs w:val="24"/>
          <w:highlight w:val="none"/>
        </w:rPr>
        <w:t>把不合格项目消除</w:t>
      </w:r>
      <w:r>
        <w:rPr>
          <w:rFonts w:hint="default" w:ascii="Times New Roman" w:hAnsi="Times New Roman" w:eastAsia="仿宋" w:cs="Times New Roman"/>
          <w:color w:val="auto"/>
          <w:spacing w:val="-14"/>
          <w:sz w:val="24"/>
          <w:szCs w:val="24"/>
          <w:highlight w:val="none"/>
        </w:rPr>
        <w:t>，</w:t>
      </w:r>
      <w:r>
        <w:rPr>
          <w:rFonts w:hint="default" w:ascii="Times New Roman" w:hAnsi="Times New Roman" w:eastAsia="仿宋" w:cs="Times New Roman"/>
          <w:color w:val="auto"/>
          <w:sz w:val="24"/>
          <w:szCs w:val="24"/>
          <w:highlight w:val="none"/>
        </w:rPr>
        <w:t>确保工程的质量</w:t>
      </w:r>
      <w:r>
        <w:rPr>
          <w:rFonts w:hint="default" w:ascii="Times New Roman" w:hAnsi="Times New Roman" w:eastAsia="仿宋" w:cs="Times New Roman"/>
          <w:color w:val="auto"/>
          <w:spacing w:val="-14"/>
          <w:sz w:val="24"/>
          <w:szCs w:val="24"/>
          <w:highlight w:val="none"/>
        </w:rPr>
        <w:t>。</w:t>
      </w:r>
    </w:p>
    <w:p>
      <w:pPr>
        <w:keepNext w:val="0"/>
        <w:keepLines w:val="0"/>
        <w:pageBreakBefore w:val="0"/>
        <w:widowControl w:val="0"/>
        <w:kinsoku/>
        <w:wordWrap/>
        <w:overflowPunct/>
        <w:topLinePunct w:val="0"/>
        <w:autoSpaceDE/>
        <w:autoSpaceDN/>
        <w:bidi w:val="0"/>
        <w:adjustRightInd/>
        <w:snapToGrid/>
        <w:spacing w:before="187" w:line="360" w:lineRule="auto"/>
        <w:ind w:left="40" w:right="51" w:firstLine="480" w:firstLineChars="200"/>
        <w:textAlignment w:val="auto"/>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color w:val="auto"/>
          <w:sz w:val="24"/>
          <w:szCs w:val="24"/>
          <w:highlight w:val="none"/>
        </w:rPr>
        <w:t>D</w:t>
      </w:r>
      <w:r>
        <w:rPr>
          <w:rFonts w:hint="default" w:ascii="Times New Roman" w:hAnsi="Times New Roman" w:eastAsia="仿宋" w:cs="Times New Roman"/>
          <w:color w:val="auto"/>
          <w:spacing w:val="-3"/>
          <w:sz w:val="24"/>
          <w:szCs w:val="24"/>
          <w:highlight w:val="none"/>
        </w:rPr>
        <w:t>．</w:t>
      </w:r>
      <w:r>
        <w:rPr>
          <w:rFonts w:hint="default" w:ascii="Times New Roman" w:hAnsi="Times New Roman" w:eastAsia="仿宋" w:cs="Times New Roman"/>
          <w:color w:val="auto"/>
          <w:sz w:val="24"/>
          <w:szCs w:val="24"/>
          <w:highlight w:val="none"/>
        </w:rPr>
        <w:t>经常听取设计和质量监督单位的意见</w:t>
      </w:r>
      <w:r>
        <w:rPr>
          <w:rFonts w:hint="default" w:ascii="Times New Roman" w:hAnsi="Times New Roman" w:eastAsia="仿宋" w:cs="Times New Roman"/>
          <w:color w:val="auto"/>
          <w:spacing w:val="-3"/>
          <w:sz w:val="24"/>
          <w:szCs w:val="24"/>
          <w:highlight w:val="none"/>
        </w:rPr>
        <w:t>，</w:t>
      </w:r>
      <w:r>
        <w:rPr>
          <w:rFonts w:hint="default" w:ascii="Times New Roman" w:hAnsi="Times New Roman" w:eastAsia="仿宋" w:cs="Times New Roman"/>
          <w:color w:val="auto"/>
          <w:sz w:val="24"/>
          <w:szCs w:val="24"/>
          <w:highlight w:val="none"/>
        </w:rPr>
        <w:t>及时改进工作</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z w:val="24"/>
          <w:szCs w:val="24"/>
          <w:highlight w:val="none"/>
        </w:rPr>
        <w:t>消除工程缺陷</w:t>
      </w:r>
      <w:r>
        <w:rPr>
          <w:rFonts w:hint="default" w:ascii="Times New Roman" w:hAnsi="Times New Roman" w:eastAsia="仿宋" w:cs="Times New Roman"/>
          <w:color w:val="auto"/>
          <w:spacing w:val="-2"/>
          <w:sz w:val="24"/>
          <w:szCs w:val="24"/>
          <w:highlight w:val="none"/>
        </w:rPr>
        <w:t>，</w:t>
      </w:r>
      <w:r>
        <w:rPr>
          <w:rFonts w:hint="default" w:ascii="Times New Roman" w:hAnsi="Times New Roman" w:eastAsia="仿宋" w:cs="Times New Roman"/>
          <w:color w:val="auto"/>
          <w:sz w:val="24"/>
          <w:szCs w:val="24"/>
          <w:highlight w:val="none"/>
        </w:rPr>
        <w:t>使工作 质量</w:t>
      </w:r>
      <w:r>
        <w:rPr>
          <w:rFonts w:hint="default" w:ascii="Times New Roman" w:hAnsi="Times New Roman" w:eastAsia="仿宋" w:cs="Times New Roman"/>
          <w:color w:val="auto"/>
          <w:spacing w:val="-28"/>
          <w:sz w:val="24"/>
          <w:szCs w:val="24"/>
          <w:highlight w:val="none"/>
        </w:rPr>
        <w:t>、</w:t>
      </w:r>
      <w:r>
        <w:rPr>
          <w:rFonts w:hint="default" w:ascii="Times New Roman" w:hAnsi="Times New Roman" w:eastAsia="仿宋" w:cs="Times New Roman"/>
          <w:color w:val="auto"/>
          <w:sz w:val="24"/>
          <w:szCs w:val="24"/>
          <w:highlight w:val="none"/>
        </w:rPr>
        <w:t>工程质量达到较高水平</w:t>
      </w:r>
      <w:r>
        <w:rPr>
          <w:rFonts w:hint="default" w:ascii="Times New Roman" w:hAnsi="Times New Roman" w:eastAsia="仿宋" w:cs="Times New Roman"/>
          <w:color w:val="auto"/>
          <w:spacing w:val="-27"/>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  进行“百年大计，质量第一”教育，提高全员质量意识。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  建立健全技术责任制</w:t>
      </w:r>
    </w:p>
    <w:p>
      <w:pPr>
        <w:spacing w:before="198" w:line="360" w:lineRule="auto"/>
        <w:ind w:left="36" w:right="34" w:firstLine="480"/>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建设管理部设总工程师</w:t>
      </w:r>
      <w:r>
        <w:rPr>
          <w:rFonts w:hint="default" w:ascii="Times New Roman" w:hAnsi="Times New Roman" w:eastAsia="仿宋" w:cs="Times New Roman"/>
          <w:color w:val="auto"/>
          <w:spacing w:val="-21"/>
          <w:sz w:val="24"/>
          <w:szCs w:val="24"/>
          <w:highlight w:val="none"/>
        </w:rPr>
        <w:t>，</w:t>
      </w:r>
      <w:r>
        <w:rPr>
          <w:rFonts w:hint="default" w:ascii="Times New Roman" w:hAnsi="Times New Roman" w:eastAsia="仿宋" w:cs="Times New Roman"/>
          <w:color w:val="auto"/>
          <w:sz w:val="24"/>
          <w:szCs w:val="24"/>
          <w:highlight w:val="none"/>
        </w:rPr>
        <w:t>各专业工程设专业工程师</w:t>
      </w:r>
      <w:r>
        <w:rPr>
          <w:rFonts w:hint="default" w:ascii="Times New Roman" w:hAnsi="Times New Roman" w:eastAsia="仿宋" w:cs="Times New Roman"/>
          <w:color w:val="auto"/>
          <w:spacing w:val="-21"/>
          <w:sz w:val="24"/>
          <w:szCs w:val="24"/>
          <w:highlight w:val="none"/>
        </w:rPr>
        <w:t>，</w:t>
      </w:r>
      <w:r>
        <w:rPr>
          <w:rFonts w:hint="default" w:ascii="Times New Roman" w:hAnsi="Times New Roman" w:eastAsia="仿宋" w:cs="Times New Roman"/>
          <w:color w:val="auto"/>
          <w:sz w:val="24"/>
          <w:szCs w:val="24"/>
          <w:highlight w:val="none"/>
        </w:rPr>
        <w:t>分别对所属工程负技术责任</w:t>
      </w:r>
      <w:r>
        <w:rPr>
          <w:rFonts w:hint="default" w:ascii="Times New Roman" w:hAnsi="Times New Roman" w:eastAsia="仿宋" w:cs="Times New Roman"/>
          <w:color w:val="auto"/>
          <w:spacing w:val="-20"/>
          <w:sz w:val="24"/>
          <w:szCs w:val="24"/>
          <w:highlight w:val="none"/>
        </w:rPr>
        <w:t>，</w:t>
      </w:r>
      <w:r>
        <w:rPr>
          <w:rFonts w:hint="default" w:ascii="Times New Roman" w:hAnsi="Times New Roman" w:eastAsia="仿宋" w:cs="Times New Roman"/>
          <w:color w:val="auto"/>
          <w:sz w:val="24"/>
          <w:szCs w:val="24"/>
          <w:highlight w:val="none"/>
        </w:rPr>
        <w:t xml:space="preserve"> 保证工程技术上有人负责</w:t>
      </w:r>
      <w:r>
        <w:rPr>
          <w:rFonts w:hint="default" w:ascii="Times New Roman" w:hAnsi="Times New Roman" w:eastAsia="仿宋" w:cs="Times New Roman"/>
          <w:color w:val="auto"/>
          <w:spacing w:val="-27"/>
          <w:sz w:val="24"/>
          <w:szCs w:val="24"/>
          <w:highlight w:val="none"/>
        </w:rPr>
        <w:t>，</w:t>
      </w:r>
      <w:r>
        <w:rPr>
          <w:rFonts w:hint="default" w:ascii="Times New Roman" w:hAnsi="Times New Roman" w:eastAsia="仿宋" w:cs="Times New Roman"/>
          <w:color w:val="auto"/>
          <w:sz w:val="24"/>
          <w:szCs w:val="24"/>
          <w:highlight w:val="none"/>
        </w:rPr>
        <w:t>工程质量上有人分管</w:t>
      </w:r>
      <w:r>
        <w:rPr>
          <w:rFonts w:hint="default" w:ascii="Times New Roman" w:hAnsi="Times New Roman" w:eastAsia="仿宋" w:cs="Times New Roman"/>
          <w:color w:val="auto"/>
          <w:spacing w:val="-26"/>
          <w:sz w:val="24"/>
          <w:szCs w:val="24"/>
          <w:highlight w:val="none"/>
        </w:rPr>
        <w:t>。</w:t>
      </w:r>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(4)  严格执行施工技术管理标准</w:t>
      </w:r>
    </w:p>
    <w:p>
      <w:pPr>
        <w:spacing w:before="198" w:line="360" w:lineRule="auto"/>
        <w:ind w:left="45" w:right="30" w:firstLine="480"/>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工程开工前拟定施工方案</w:t>
      </w:r>
      <w:r>
        <w:rPr>
          <w:rFonts w:hint="default" w:ascii="Times New Roman" w:hAnsi="Times New Roman" w:eastAsia="仿宋" w:cs="Times New Roman"/>
          <w:color w:val="auto"/>
          <w:spacing w:val="-33"/>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专业技术员对小组进行施工技术交底</w:t>
      </w:r>
      <w:r>
        <w:rPr>
          <w:rFonts w:hint="default" w:ascii="Times New Roman" w:hAnsi="Times New Roman" w:eastAsia="仿宋" w:cs="Times New Roman"/>
          <w:color w:val="auto"/>
          <w:spacing w:val="-33"/>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并下达小组自检记录</w:t>
      </w:r>
      <w:r>
        <w:rPr>
          <w:rFonts w:hint="default" w:ascii="Times New Roman" w:hAnsi="Times New Roman" w:eastAsia="仿宋" w:cs="Times New Roman"/>
          <w:color w:val="auto"/>
          <w:spacing w:val="-13"/>
          <w:sz w:val="24"/>
          <w:szCs w:val="24"/>
          <w:highlight w:val="none"/>
        </w:rPr>
        <w:t>。</w:t>
      </w:r>
      <w:r>
        <w:rPr>
          <w:rFonts w:hint="default" w:ascii="Times New Roman" w:hAnsi="Times New Roman" w:eastAsia="仿宋" w:cs="Times New Roman"/>
          <w:color w:val="auto"/>
          <w:sz w:val="24"/>
          <w:szCs w:val="24"/>
          <w:highlight w:val="none"/>
        </w:rPr>
        <w:t>职工必须熟悉图纸</w:t>
      </w:r>
      <w:r>
        <w:rPr>
          <w:rFonts w:hint="default" w:ascii="Times New Roman" w:hAnsi="Times New Roman" w:eastAsia="仿宋" w:cs="Times New Roman"/>
          <w:color w:val="auto"/>
          <w:spacing w:val="-13"/>
          <w:sz w:val="24"/>
          <w:szCs w:val="24"/>
          <w:highlight w:val="none"/>
        </w:rPr>
        <w:t>，</w:t>
      </w:r>
      <w:r>
        <w:rPr>
          <w:rFonts w:hint="default" w:ascii="Times New Roman" w:hAnsi="Times New Roman" w:eastAsia="仿宋" w:cs="Times New Roman"/>
          <w:color w:val="auto"/>
          <w:sz w:val="24"/>
          <w:szCs w:val="24"/>
          <w:highlight w:val="none"/>
        </w:rPr>
        <w:t>对设计要求</w:t>
      </w:r>
      <w:r>
        <w:rPr>
          <w:rFonts w:hint="default" w:ascii="Times New Roman" w:hAnsi="Times New Roman" w:eastAsia="仿宋" w:cs="Times New Roman"/>
          <w:color w:val="auto"/>
          <w:spacing w:val="-12"/>
          <w:sz w:val="24"/>
          <w:szCs w:val="24"/>
          <w:highlight w:val="none"/>
        </w:rPr>
        <w:t>、</w:t>
      </w:r>
      <w:r>
        <w:rPr>
          <w:rFonts w:hint="default" w:ascii="Times New Roman" w:hAnsi="Times New Roman" w:eastAsia="仿宋" w:cs="Times New Roman"/>
          <w:color w:val="auto"/>
          <w:sz w:val="24"/>
          <w:szCs w:val="24"/>
          <w:highlight w:val="none"/>
        </w:rPr>
        <w:t>质量标准心中有数</w:t>
      </w:r>
      <w:r>
        <w:rPr>
          <w:rFonts w:hint="default" w:ascii="Times New Roman" w:hAnsi="Times New Roman" w:eastAsia="仿宋" w:cs="Times New Roman"/>
          <w:color w:val="auto"/>
          <w:spacing w:val="-12"/>
          <w:sz w:val="24"/>
          <w:szCs w:val="24"/>
          <w:highlight w:val="none"/>
        </w:rPr>
        <w:t>，</w:t>
      </w:r>
      <w:r>
        <w:rPr>
          <w:rFonts w:hint="default" w:ascii="Times New Roman" w:hAnsi="Times New Roman" w:eastAsia="仿宋" w:cs="Times New Roman"/>
          <w:color w:val="auto"/>
          <w:sz w:val="24"/>
          <w:szCs w:val="24"/>
          <w:highlight w:val="none"/>
        </w:rPr>
        <w:t>并遵照执行</w:t>
      </w:r>
      <w:r>
        <w:rPr>
          <w:rFonts w:hint="default" w:ascii="Times New Roman" w:hAnsi="Times New Roman" w:eastAsia="仿宋" w:cs="Times New Roman"/>
          <w:color w:val="auto"/>
          <w:spacing w:val="-12"/>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(5)  编排质量控制计划，制定质量控制点，进行严格质量控制质量监控人员，在工程开前对工程情况，编制质量控制计划，设置质量控制点，在施工中严格要求按质量控制计划，对材料、机具、各工序、各项试验等进行质量控制。</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(6)  建立工序质量复检制</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小组工序自检完成达到合格后，由专业技术人员与专职质检员及下道工序人员， 对 工序质量进行复检，质量达到优良后，办理交接手续后，方可进行下道工序施工。</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(7)  竣工资料的管理</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工程技术部设专职资料管理员</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在工程施工的过程中，认真做好各种文件、图表资料、记录表格的收集和规范管理工作，做到及时、准确、完整。保证工程完工后及时向业主、监理工程师提交符合国家标准的竣工验收资料。</w:t>
      </w:r>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4.1.4 监理单位质量保证体系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1、质量管理体系</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1 ）建立健全内部规章制度，推行工作程序化、标准化和科学化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建立健全内部规章制度，是切实做好监理内部管理的基础。为了保证监理工作的有 序开展，监理单位制定了监理工作规章制度和监理人员考核标准。如建立监理岗位责任制、监理工作制度、监理工程师考评实施细则、业务学习制度、工地监理例会制度、廉政纪律等规章制度。明确各级监理人员的权限及奖惩规定， 推行监理工作程序化</w:t>
      </w:r>
      <w:r>
        <w:rPr>
          <w:rFonts w:hint="default" w:ascii="Times New Roman" w:hAnsi="Times New Roman" w:cs="Times New Roman"/>
          <w:color w:val="auto"/>
          <w:highlight w:val="none"/>
          <w:lang w:eastAsia="zh-CN"/>
        </w:rPr>
        <w:t>、</w:t>
      </w:r>
      <w:r>
        <w:rPr>
          <w:rFonts w:hint="default" w:ascii="Times New Roman" w:hAnsi="Times New Roman" w:cs="Times New Roman"/>
          <w:color w:val="auto"/>
          <w:highlight w:val="none"/>
        </w:rPr>
        <w:t>标准化和科学化。</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（2）认真落实岗位责任制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监理人员进场时都与驻地监理办签订了工作责任合同，实行岗位责任制， 合同中规定了监理人员的责任、义务和权益，使监理人员责、权、利明确，并使监理工程师的权 限和行为受到了规范的制约和约束。</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（3）始终抓好监理人员的学习、教育及监督工作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工程一开始，由驻地办对监理人员进行了岗前教育， 组织监理工程师熟悉技术规范，熟悉监理和工程有关合同文件，提高其专业理论水平。</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2、质量控制办法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 1 ）制定“监理规划”，实行了现场巡回检查和旁站监理制度，一般工程抽检和隐 蔽工程验收相结合的办法，认真做好单元工程、分部工程的质量评定工作，总结编写好 “监理工作报告”。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（2）工序交接检查制度。按规程、规范、前后工序不能颠倒，工序流程间应有检 查验收，否则不得进入下一环节或工序。</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（3）工程质量事故处理制度，不给下一环节留下隐患。</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（4）质量监督制度。对不合理的工程下达停工指令。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（5）质量否决权制度。既控制质量，也控制了投资。</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（6）监理日志制度。监理日志必须反映工程质量有关问题。</w:t>
      </w:r>
    </w:p>
    <w:p>
      <w:pPr>
        <w:spacing w:line="248" w:lineRule="auto"/>
        <w:rPr>
          <w:rFonts w:hint="default" w:ascii="Times New Roman" w:hAnsi="Times New Roman" w:cs="Times New Roman"/>
          <w:color w:val="auto"/>
          <w:sz w:val="21"/>
          <w:highlight w:val="none"/>
        </w:rPr>
      </w:pPr>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4.1.5 质量监督单位管理体系体系</w:t>
      </w:r>
    </w:p>
    <w:p>
      <w:pPr>
        <w:spacing w:before="182" w:line="359" w:lineRule="auto"/>
        <w:ind w:left="65" w:right="65" w:firstLine="468"/>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本项目由湖南省有色建设工程质量安全监督站全过程进行了质量安全监督</w:t>
      </w:r>
      <w:r>
        <w:rPr>
          <w:rFonts w:hint="default" w:ascii="Times New Roman" w:hAnsi="Times New Roman" w:eastAsia="仿宋" w:cs="Times New Roman"/>
          <w:color w:val="auto"/>
          <w:spacing w:val="-60"/>
          <w:sz w:val="24"/>
          <w:szCs w:val="24"/>
          <w:highlight w:val="none"/>
        </w:rPr>
        <w:t>。</w:t>
      </w:r>
      <w:r>
        <w:rPr>
          <w:rFonts w:hint="default" w:ascii="Times New Roman" w:hAnsi="Times New Roman" w:eastAsia="仿宋" w:cs="Times New Roman"/>
          <w:color w:val="auto"/>
          <w:sz w:val="24"/>
          <w:szCs w:val="24"/>
          <w:highlight w:val="none"/>
        </w:rPr>
        <w:t>管理体系如下</w:t>
      </w:r>
      <w:r>
        <w:rPr>
          <w:rFonts w:hint="default" w:ascii="Times New Roman" w:hAnsi="Times New Roman" w:eastAsia="仿宋" w:cs="Times New Roman"/>
          <w:color w:val="auto"/>
          <w:spacing w:val="-64"/>
          <w:sz w:val="24"/>
          <w:szCs w:val="24"/>
          <w:highlight w:val="none"/>
        </w:rPr>
        <w:t>：</w:t>
      </w:r>
    </w:p>
    <w:p>
      <w:pPr>
        <w:pStyle w:val="4"/>
        <w:keepNext/>
        <w:keepLines/>
        <w:pageBreakBefore w:val="0"/>
        <w:widowControl w:val="0"/>
        <w:kinsoku/>
        <w:wordWrap/>
        <w:overflowPunct/>
        <w:topLinePunct w:val="0"/>
        <w:autoSpaceDE/>
        <w:autoSpaceDN/>
        <w:bidi w:val="0"/>
        <w:adjustRightInd/>
        <w:snapToGrid/>
        <w:spacing w:before="0" w:after="0" w:line="360" w:lineRule="auto"/>
        <w:ind w:firstLine="560" w:firstLineChars="200"/>
        <w:textAlignment w:val="auto"/>
        <w:rPr>
          <w:rFonts w:hint="default" w:ascii="Times New Roman" w:hAnsi="Times New Roman" w:eastAsia="仿宋" w:cs="Times New Roman"/>
          <w:color w:val="auto"/>
          <w:highlight w:val="none"/>
        </w:rPr>
      </w:pPr>
      <w:r>
        <w:rPr>
          <w:rFonts w:hint="default" w:ascii="Times New Roman" w:hAnsi="Times New Roman" w:eastAsia="仿宋" w:cs="Times New Roman"/>
          <w:color w:val="auto"/>
          <w:highlight w:val="none"/>
        </w:rPr>
        <w:t>1．质量管理体系</w:t>
      </w:r>
    </w:p>
    <w:p>
      <w:pPr>
        <w:spacing w:before="184" w:line="215" w:lineRule="auto"/>
        <w:ind w:firstLine="525"/>
        <w:rPr>
          <w:rFonts w:hint="default" w:ascii="Times New Roman" w:hAnsi="Times New Roman" w:eastAsia="仿宋" w:cs="Times New Roman"/>
          <w:color w:val="auto"/>
          <w:spacing w:val="-26"/>
          <w:sz w:val="24"/>
          <w:szCs w:val="24"/>
          <w:highlight w:val="none"/>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w:t>
      </w:r>
      <w:r>
        <w:rPr>
          <w:rFonts w:hint="eastAsia" w:ascii="Times New Roman" w:hAnsi="Times New Roman"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监督工程技术人员</w:t>
      </w:r>
      <w:r>
        <w:rPr>
          <w:rFonts w:hint="default" w:ascii="Times New Roman" w:hAnsi="Times New Roman" w:eastAsia="仿宋" w:cs="Times New Roman"/>
          <w:color w:val="auto"/>
          <w:spacing w:val="-26"/>
          <w:sz w:val="24"/>
          <w:szCs w:val="24"/>
          <w:highlight w:val="none"/>
        </w:rPr>
        <w:t>、</w:t>
      </w:r>
      <w:r>
        <w:rPr>
          <w:rFonts w:hint="default" w:ascii="Times New Roman" w:hAnsi="Times New Roman" w:eastAsia="仿宋" w:cs="Times New Roman"/>
          <w:color w:val="auto"/>
          <w:sz w:val="24"/>
          <w:szCs w:val="24"/>
          <w:highlight w:val="none"/>
        </w:rPr>
        <w:t>施工机械</w:t>
      </w:r>
      <w:r>
        <w:rPr>
          <w:rFonts w:hint="default" w:ascii="Times New Roman" w:hAnsi="Times New Roman" w:eastAsia="仿宋" w:cs="Times New Roman"/>
          <w:color w:val="auto"/>
          <w:spacing w:val="-26"/>
          <w:sz w:val="24"/>
          <w:szCs w:val="24"/>
          <w:highlight w:val="none"/>
        </w:rPr>
        <w:t>、</w:t>
      </w:r>
      <w:r>
        <w:rPr>
          <w:rFonts w:hint="default" w:ascii="Times New Roman" w:hAnsi="Times New Roman" w:eastAsia="仿宋" w:cs="Times New Roman"/>
          <w:color w:val="auto"/>
          <w:sz w:val="24"/>
          <w:szCs w:val="24"/>
          <w:highlight w:val="none"/>
        </w:rPr>
        <w:t>试验和检测仪器设备是否与标书承诺一致</w:t>
      </w:r>
      <w:r>
        <w:rPr>
          <w:rFonts w:hint="default" w:ascii="Times New Roman" w:hAnsi="Times New Roman" w:eastAsia="仿宋" w:cs="Times New Roman"/>
          <w:color w:val="auto"/>
          <w:spacing w:val="-26"/>
          <w:sz w:val="24"/>
          <w:szCs w:val="24"/>
          <w:highlight w:val="none"/>
        </w:rPr>
        <w:t>。</w:t>
      </w:r>
    </w:p>
    <w:p>
      <w:pPr>
        <w:spacing w:before="218" w:line="215" w:lineRule="auto"/>
        <w:ind w:firstLine="510"/>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w:t>
      </w:r>
      <w:r>
        <w:rPr>
          <w:rFonts w:hint="default" w:ascii="Times New Roman" w:hAnsi="Times New Roman" w:eastAsia="Times New Roman" w:cs="Times New Roman"/>
          <w:color w:val="auto"/>
          <w:sz w:val="24"/>
          <w:szCs w:val="24"/>
          <w:highlight w:val="none"/>
        </w:rPr>
        <w:t>2</w:t>
      </w:r>
      <w:r>
        <w:rPr>
          <w:rFonts w:hint="default" w:ascii="Times New Roman" w:hAnsi="Times New Roman" w:eastAsia="仿宋" w:cs="Times New Roman"/>
          <w:color w:val="auto"/>
          <w:spacing w:val="-24"/>
          <w:sz w:val="24"/>
          <w:szCs w:val="24"/>
          <w:highlight w:val="none"/>
        </w:rPr>
        <w:t>）</w:t>
      </w:r>
      <w:r>
        <w:rPr>
          <w:rFonts w:hint="default" w:ascii="Times New Roman" w:hAnsi="Times New Roman" w:eastAsia="仿宋" w:cs="Times New Roman"/>
          <w:color w:val="auto"/>
          <w:sz w:val="24"/>
          <w:szCs w:val="24"/>
          <w:highlight w:val="none"/>
        </w:rPr>
        <w:t>质量监督单位审核各施工单位编织的施工组织设计的合理性</w:t>
      </w:r>
      <w:r>
        <w:rPr>
          <w:rFonts w:hint="default" w:ascii="Times New Roman" w:hAnsi="Times New Roman" w:eastAsia="仿宋" w:cs="Times New Roman"/>
          <w:color w:val="auto"/>
          <w:spacing w:val="-23"/>
          <w:sz w:val="24"/>
          <w:szCs w:val="24"/>
          <w:highlight w:val="none"/>
        </w:rPr>
        <w:t>。</w:t>
      </w:r>
    </w:p>
    <w:p>
      <w:pPr>
        <w:spacing w:before="184" w:line="360" w:lineRule="auto"/>
        <w:ind w:left="42" w:right="97" w:firstLine="467"/>
        <w:rPr>
          <w:rFonts w:hint="default" w:ascii="Times New Roman" w:hAnsi="Times New Roman" w:eastAsia="仿宋" w:cs="Times New Roman"/>
          <w:color w:val="auto"/>
          <w:sz w:val="24"/>
          <w:szCs w:val="24"/>
          <w:highlight w:val="none"/>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3</w:t>
      </w:r>
      <w:r>
        <w:rPr>
          <w:rFonts w:hint="eastAsia" w:ascii="Times New Roman" w:hAnsi="Times New Roman"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质量监督单位对施工过程中施行全过程</w:t>
      </w:r>
      <w:r>
        <w:rPr>
          <w:rFonts w:hint="default" w:ascii="Times New Roman" w:hAnsi="Times New Roman" w:eastAsia="仿宋" w:cs="Times New Roman"/>
          <w:color w:val="auto"/>
          <w:spacing w:val="-5"/>
          <w:sz w:val="24"/>
          <w:szCs w:val="24"/>
          <w:highlight w:val="none"/>
        </w:rPr>
        <w:t>、</w:t>
      </w:r>
      <w:r>
        <w:rPr>
          <w:rFonts w:hint="default" w:ascii="Times New Roman" w:hAnsi="Times New Roman" w:eastAsia="仿宋" w:cs="Times New Roman"/>
          <w:color w:val="auto"/>
          <w:sz w:val="24"/>
          <w:szCs w:val="24"/>
          <w:highlight w:val="none"/>
        </w:rPr>
        <w:t>全方位</w:t>
      </w:r>
      <w:r>
        <w:rPr>
          <w:rFonts w:hint="default" w:ascii="Times New Roman" w:hAnsi="Times New Roman" w:eastAsia="仿宋" w:cs="Times New Roman"/>
          <w:color w:val="auto"/>
          <w:spacing w:val="-5"/>
          <w:sz w:val="24"/>
          <w:szCs w:val="24"/>
          <w:highlight w:val="none"/>
        </w:rPr>
        <w:t>、</w:t>
      </w:r>
      <w:r>
        <w:rPr>
          <w:rFonts w:hint="default" w:ascii="Times New Roman" w:hAnsi="Times New Roman" w:eastAsia="仿宋" w:cs="Times New Roman"/>
          <w:color w:val="auto"/>
          <w:sz w:val="24"/>
          <w:szCs w:val="24"/>
          <w:highlight w:val="none"/>
        </w:rPr>
        <w:t>全天候的现场监控</w:t>
      </w:r>
      <w:r>
        <w:rPr>
          <w:rFonts w:hint="default" w:ascii="Times New Roman" w:hAnsi="Times New Roman" w:eastAsia="仿宋" w:cs="Times New Roman"/>
          <w:color w:val="auto"/>
          <w:spacing w:val="-5"/>
          <w:sz w:val="24"/>
          <w:szCs w:val="24"/>
          <w:highlight w:val="none"/>
        </w:rPr>
        <w:t>，</w:t>
      </w:r>
      <w:r>
        <w:rPr>
          <w:rFonts w:hint="default" w:ascii="Times New Roman" w:hAnsi="Times New Roman" w:eastAsia="仿宋" w:cs="Times New Roman"/>
          <w:color w:val="auto"/>
          <w:sz w:val="24"/>
          <w:szCs w:val="24"/>
          <w:highlight w:val="none"/>
        </w:rPr>
        <w:t>对不合格工程要坚决做返工处理</w:t>
      </w:r>
      <w:r>
        <w:rPr>
          <w:rFonts w:hint="default" w:ascii="Times New Roman" w:hAnsi="Times New Roman" w:eastAsia="仿宋" w:cs="Times New Roman"/>
          <w:color w:val="auto"/>
          <w:spacing w:val="-57"/>
          <w:sz w:val="24"/>
          <w:szCs w:val="24"/>
          <w:highlight w:val="none"/>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2、质量管理制度</w:t>
      </w:r>
    </w:p>
    <w:p>
      <w:pPr>
        <w:spacing w:before="185" w:line="360" w:lineRule="auto"/>
        <w:ind w:left="39" w:right="67" w:firstLine="470"/>
        <w:rPr>
          <w:rFonts w:hint="default" w:ascii="Times New Roman" w:hAnsi="Times New Roman" w:eastAsia="仿宋" w:cs="Times New Roman"/>
          <w:color w:val="auto"/>
          <w:sz w:val="24"/>
          <w:szCs w:val="24"/>
          <w:highlight w:val="none"/>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1</w:t>
      </w:r>
      <w:r>
        <w:rPr>
          <w:rFonts w:hint="eastAsia" w:ascii="Times New Roman" w:hAnsi="Times New Roman"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践行</w:t>
      </w:r>
      <w:r>
        <w:rPr>
          <w:rFonts w:hint="default" w:ascii="Times New Roman" w:hAnsi="Times New Roman" w:eastAsia="Times New Roman" w:cs="Times New Roman"/>
          <w:color w:val="auto"/>
          <w:sz w:val="24"/>
          <w:szCs w:val="24"/>
          <w:highlight w:val="none"/>
        </w:rPr>
        <w:t>“</w:t>
      </w:r>
      <w:r>
        <w:rPr>
          <w:rFonts w:hint="default" w:ascii="Times New Roman" w:hAnsi="Times New Roman" w:eastAsia="仿宋" w:cs="Times New Roman"/>
          <w:color w:val="auto"/>
          <w:sz w:val="24"/>
          <w:szCs w:val="24"/>
          <w:highlight w:val="none"/>
        </w:rPr>
        <w:t>阳光质监</w:t>
      </w:r>
      <w:r>
        <w:rPr>
          <w:rFonts w:hint="default" w:ascii="Times New Roman" w:hAnsi="Times New Roman" w:eastAsia="Times New Roman" w:cs="Times New Roman"/>
          <w:color w:val="auto"/>
          <w:sz w:val="24"/>
          <w:szCs w:val="24"/>
          <w:highlight w:val="none"/>
        </w:rPr>
        <w:t>”</w:t>
      </w:r>
      <w:r>
        <w:rPr>
          <w:rFonts w:hint="default" w:ascii="Times New Roman" w:hAnsi="Times New Roman" w:eastAsia="仿宋" w:cs="Times New Roman"/>
          <w:color w:val="auto"/>
          <w:sz w:val="24"/>
          <w:szCs w:val="24"/>
          <w:highlight w:val="none"/>
        </w:rPr>
        <w:t>制度。质量监督单位自觉接受参建各方监督，检测结果及检 查发现的主要问题由各个参建单位同时作了记录</w:t>
      </w:r>
      <w:r>
        <w:rPr>
          <w:rFonts w:hint="default" w:ascii="Times New Roman" w:hAnsi="Times New Roman" w:eastAsia="仿宋" w:cs="Times New Roman"/>
          <w:color w:val="auto"/>
          <w:spacing w:val="-56"/>
          <w:sz w:val="24"/>
          <w:szCs w:val="24"/>
          <w:highlight w:val="none"/>
        </w:rPr>
        <w:t>。</w:t>
      </w:r>
    </w:p>
    <w:p>
      <w:pPr>
        <w:spacing w:line="360" w:lineRule="auto"/>
        <w:ind w:left="36" w:right="112" w:firstLine="473"/>
        <w:rPr>
          <w:rFonts w:hint="default" w:ascii="Times New Roman" w:hAnsi="Times New Roman" w:eastAsia="仿宋" w:cs="Times New Roman"/>
          <w:color w:val="auto"/>
          <w:sz w:val="24"/>
          <w:szCs w:val="24"/>
          <w:highlight w:val="none"/>
        </w:rPr>
      </w:pPr>
      <w:r>
        <w:rPr>
          <w:rFonts w:hint="eastAsia" w:ascii="Times New Roman" w:hAnsi="Times New Roman" w:eastAsia="宋体" w:cs="Times New Roman"/>
          <w:color w:val="auto"/>
          <w:sz w:val="24"/>
          <w:szCs w:val="24"/>
          <w:highlight w:val="none"/>
          <w:lang w:eastAsia="zh-CN"/>
        </w:rPr>
        <w:t>（</w:t>
      </w:r>
      <w:r>
        <w:rPr>
          <w:rFonts w:hint="eastAsia" w:ascii="Times New Roman" w:hAnsi="Times New Roman" w:eastAsia="宋体" w:cs="Times New Roman"/>
          <w:color w:val="auto"/>
          <w:sz w:val="24"/>
          <w:szCs w:val="24"/>
          <w:highlight w:val="none"/>
          <w:lang w:val="en-US" w:eastAsia="zh-CN"/>
        </w:rPr>
        <w:t>1</w:t>
      </w:r>
      <w:r>
        <w:rPr>
          <w:rFonts w:hint="eastAsia" w:ascii="Times New Roman" w:hAnsi="Times New Roman" w:eastAsia="宋体" w:cs="Times New Roman"/>
          <w:color w:val="auto"/>
          <w:sz w:val="24"/>
          <w:szCs w:val="24"/>
          <w:highlight w:val="none"/>
          <w:lang w:eastAsia="zh-CN"/>
        </w:rPr>
        <w:t>）</w:t>
      </w:r>
      <w:r>
        <w:rPr>
          <w:rFonts w:hint="default" w:ascii="Times New Roman" w:hAnsi="Times New Roman" w:eastAsia="Times New Roman" w:cs="Times New Roman"/>
          <w:color w:val="auto"/>
          <w:sz w:val="24"/>
          <w:szCs w:val="24"/>
          <w:highlight w:val="none"/>
        </w:rPr>
        <w:t>"</w:t>
      </w:r>
      <w:r>
        <w:rPr>
          <w:rFonts w:hint="default" w:ascii="Times New Roman" w:hAnsi="Times New Roman" w:eastAsia="仿宋" w:cs="Times New Roman"/>
          <w:color w:val="auto"/>
          <w:sz w:val="24"/>
          <w:szCs w:val="24"/>
          <w:highlight w:val="none"/>
        </w:rPr>
        <w:t>公正</w:t>
      </w:r>
      <w:r>
        <w:rPr>
          <w:rFonts w:hint="default" w:ascii="Times New Roman" w:hAnsi="Times New Roman" w:eastAsia="仿宋" w:cs="Times New Roman"/>
          <w:color w:val="auto"/>
          <w:spacing w:val="1"/>
          <w:sz w:val="24"/>
          <w:szCs w:val="24"/>
          <w:highlight w:val="none"/>
        </w:rPr>
        <w:t>、</w:t>
      </w:r>
      <w:r>
        <w:rPr>
          <w:rFonts w:hint="default" w:ascii="Times New Roman" w:hAnsi="Times New Roman" w:eastAsia="仿宋" w:cs="Times New Roman"/>
          <w:color w:val="auto"/>
          <w:sz w:val="24"/>
          <w:szCs w:val="24"/>
          <w:highlight w:val="none"/>
        </w:rPr>
        <w:t>诚信</w:t>
      </w:r>
      <w:r>
        <w:rPr>
          <w:rFonts w:hint="default" w:ascii="Times New Roman" w:hAnsi="Times New Roman" w:eastAsia="仿宋" w:cs="Times New Roman"/>
          <w:color w:val="auto"/>
          <w:spacing w:val="1"/>
          <w:sz w:val="24"/>
          <w:szCs w:val="24"/>
          <w:highlight w:val="none"/>
        </w:rPr>
        <w:t>、</w:t>
      </w:r>
      <w:r>
        <w:rPr>
          <w:rFonts w:hint="default" w:ascii="Times New Roman" w:hAnsi="Times New Roman" w:eastAsia="仿宋" w:cs="Times New Roman"/>
          <w:color w:val="auto"/>
          <w:sz w:val="24"/>
          <w:szCs w:val="24"/>
          <w:highlight w:val="none"/>
        </w:rPr>
        <w:t>科学</w:t>
      </w:r>
      <w:r>
        <w:rPr>
          <w:rFonts w:hint="default" w:ascii="Times New Roman" w:hAnsi="Times New Roman" w:eastAsia="仿宋" w:cs="Times New Roman"/>
          <w:color w:val="auto"/>
          <w:spacing w:val="1"/>
          <w:sz w:val="24"/>
          <w:szCs w:val="24"/>
          <w:highlight w:val="none"/>
        </w:rPr>
        <w:t>、</w:t>
      </w:r>
      <w:r>
        <w:rPr>
          <w:rFonts w:hint="default" w:ascii="Times New Roman" w:hAnsi="Times New Roman" w:eastAsia="仿宋" w:cs="Times New Roman"/>
          <w:color w:val="auto"/>
          <w:sz w:val="24"/>
          <w:szCs w:val="24"/>
          <w:highlight w:val="none"/>
        </w:rPr>
        <w:t>求实</w:t>
      </w:r>
      <w:r>
        <w:rPr>
          <w:rFonts w:hint="default" w:ascii="Times New Roman" w:hAnsi="Times New Roman" w:eastAsia="Times New Roman" w:cs="Times New Roman"/>
          <w:color w:val="auto"/>
          <w:sz w:val="24"/>
          <w:szCs w:val="24"/>
          <w:highlight w:val="none"/>
        </w:rPr>
        <w:t>"</w:t>
      </w:r>
      <w:r>
        <w:rPr>
          <w:rFonts w:hint="default" w:ascii="Times New Roman" w:hAnsi="Times New Roman" w:eastAsia="仿宋" w:cs="Times New Roman"/>
          <w:color w:val="auto"/>
          <w:sz w:val="24"/>
          <w:szCs w:val="24"/>
          <w:highlight w:val="none"/>
        </w:rPr>
        <w:t>制度</w:t>
      </w:r>
      <w:r>
        <w:rPr>
          <w:rFonts w:hint="default" w:ascii="Times New Roman" w:hAnsi="Times New Roman" w:eastAsia="仿宋" w:cs="Times New Roman"/>
          <w:color w:val="auto"/>
          <w:spacing w:val="1"/>
          <w:sz w:val="24"/>
          <w:szCs w:val="24"/>
          <w:highlight w:val="none"/>
        </w:rPr>
        <w:t>。</w:t>
      </w:r>
      <w:r>
        <w:rPr>
          <w:rFonts w:hint="default" w:ascii="Times New Roman" w:hAnsi="Times New Roman" w:eastAsia="仿宋" w:cs="Times New Roman"/>
          <w:color w:val="auto"/>
          <w:sz w:val="24"/>
          <w:szCs w:val="24"/>
          <w:highlight w:val="none"/>
        </w:rPr>
        <w:t>质量监督单位应该主动积极</w:t>
      </w:r>
      <w:r>
        <w:rPr>
          <w:rFonts w:hint="default" w:ascii="Times New Roman" w:hAnsi="Times New Roman" w:eastAsia="仿宋" w:cs="Times New Roman"/>
          <w:color w:val="auto"/>
          <w:spacing w:val="1"/>
          <w:sz w:val="24"/>
          <w:szCs w:val="24"/>
          <w:highlight w:val="none"/>
        </w:rPr>
        <w:t>、</w:t>
      </w:r>
      <w:r>
        <w:rPr>
          <w:rFonts w:hint="default" w:ascii="Times New Roman" w:hAnsi="Times New Roman" w:eastAsia="仿宋" w:cs="Times New Roman"/>
          <w:color w:val="auto"/>
          <w:sz w:val="24"/>
          <w:szCs w:val="24"/>
          <w:highlight w:val="none"/>
        </w:rPr>
        <w:t>勤奋刻苦、 虚心谨慎地全心全意为工程建设服务</w:t>
      </w:r>
      <w:r>
        <w:rPr>
          <w:rFonts w:hint="default" w:ascii="Times New Roman" w:hAnsi="Times New Roman" w:eastAsia="仿宋" w:cs="Times New Roman"/>
          <w:color w:val="auto"/>
          <w:spacing w:val="-52"/>
          <w:sz w:val="24"/>
          <w:szCs w:val="24"/>
          <w:highlight w:val="none"/>
        </w:rPr>
        <w:t>。</w:t>
      </w:r>
    </w:p>
    <w:p>
      <w:pPr>
        <w:spacing w:before="3" w:line="360" w:lineRule="auto"/>
        <w:ind w:left="32" w:right="68" w:firstLine="477"/>
        <w:rPr>
          <w:rFonts w:hint="default" w:ascii="Times New Roman" w:hAnsi="Times New Roman" w:eastAsia="仿宋" w:cs="Times New Roman"/>
          <w:color w:val="auto"/>
          <w:sz w:val="24"/>
          <w:szCs w:val="24"/>
          <w:highlight w:val="none"/>
        </w:rPr>
      </w:pPr>
      <w:r>
        <w:rPr>
          <w:rFonts w:hint="eastAsia" w:ascii="Times New Roman" w:hAnsi="Times New Roman" w:eastAsia="宋体" w:cs="Times New Roman"/>
          <w:color w:val="auto"/>
          <w:spacing w:val="1"/>
          <w:sz w:val="24"/>
          <w:szCs w:val="24"/>
          <w:highlight w:val="none"/>
          <w:lang w:eastAsia="zh-CN"/>
        </w:rPr>
        <w:t>（</w:t>
      </w:r>
      <w:r>
        <w:rPr>
          <w:rFonts w:hint="eastAsia" w:ascii="Times New Roman" w:hAnsi="Times New Roman" w:eastAsia="宋体" w:cs="Times New Roman"/>
          <w:color w:val="auto"/>
          <w:spacing w:val="1"/>
          <w:sz w:val="24"/>
          <w:szCs w:val="24"/>
          <w:highlight w:val="none"/>
          <w:lang w:val="en-US" w:eastAsia="zh-CN"/>
        </w:rPr>
        <w:t>3</w:t>
      </w:r>
      <w:r>
        <w:rPr>
          <w:rFonts w:hint="eastAsia" w:ascii="Times New Roman" w:hAnsi="Times New Roman" w:eastAsia="宋体" w:cs="Times New Roman"/>
          <w:color w:val="auto"/>
          <w:spacing w:val="1"/>
          <w:sz w:val="24"/>
          <w:szCs w:val="24"/>
          <w:highlight w:val="none"/>
          <w:lang w:eastAsia="zh-CN"/>
        </w:rPr>
        <w:t>）</w:t>
      </w:r>
      <w:r>
        <w:rPr>
          <w:rFonts w:hint="default" w:ascii="Times New Roman" w:hAnsi="Times New Roman" w:eastAsia="Times New Roman" w:cs="Times New Roman"/>
          <w:color w:val="auto"/>
          <w:spacing w:val="1"/>
          <w:sz w:val="24"/>
          <w:szCs w:val="24"/>
          <w:highlight w:val="none"/>
        </w:rPr>
        <w:t>“</w:t>
      </w:r>
      <w:r>
        <w:rPr>
          <w:rFonts w:hint="default" w:ascii="Times New Roman" w:hAnsi="Times New Roman" w:eastAsia="仿宋" w:cs="Times New Roman"/>
          <w:color w:val="auto"/>
          <w:spacing w:val="1"/>
          <w:sz w:val="24"/>
          <w:szCs w:val="24"/>
          <w:highlight w:val="none"/>
        </w:rPr>
        <w:t>廉洁奉公、不谋私利</w:t>
      </w:r>
      <w:r>
        <w:rPr>
          <w:rFonts w:hint="default" w:ascii="Times New Roman" w:hAnsi="Times New Roman" w:eastAsia="Times New Roman" w:cs="Times New Roman"/>
          <w:color w:val="auto"/>
          <w:spacing w:val="1"/>
          <w:sz w:val="24"/>
          <w:szCs w:val="24"/>
          <w:highlight w:val="none"/>
        </w:rPr>
        <w:t>”</w:t>
      </w:r>
      <w:r>
        <w:rPr>
          <w:rFonts w:hint="default" w:ascii="Times New Roman" w:hAnsi="Times New Roman" w:eastAsia="仿宋" w:cs="Times New Roman"/>
          <w:color w:val="auto"/>
          <w:spacing w:val="1"/>
          <w:sz w:val="24"/>
          <w:szCs w:val="24"/>
          <w:highlight w:val="none"/>
        </w:rPr>
        <w:t>制度。质量监督单位严禁以任何方式收受第三</w:t>
      </w:r>
      <w:r>
        <w:rPr>
          <w:rFonts w:hint="default" w:ascii="Times New Roman" w:hAnsi="Times New Roman" w:eastAsia="仿宋" w:cs="Times New Roman"/>
          <w:color w:val="auto"/>
          <w:sz w:val="24"/>
          <w:szCs w:val="24"/>
          <w:highlight w:val="none"/>
        </w:rPr>
        <w:t>方任何 形式的馈赠</w:t>
      </w:r>
      <w:r>
        <w:rPr>
          <w:rFonts w:hint="default" w:ascii="Times New Roman" w:hAnsi="Times New Roman" w:eastAsia="仿宋" w:cs="Times New Roman"/>
          <w:color w:val="auto"/>
          <w:spacing w:val="-17"/>
          <w:sz w:val="24"/>
          <w:szCs w:val="24"/>
          <w:highlight w:val="none"/>
        </w:rPr>
        <w:t>，</w:t>
      </w:r>
      <w:r>
        <w:rPr>
          <w:rFonts w:hint="default" w:ascii="Times New Roman" w:hAnsi="Times New Roman" w:eastAsia="仿宋" w:cs="Times New Roman"/>
          <w:color w:val="auto"/>
          <w:sz w:val="24"/>
          <w:szCs w:val="24"/>
          <w:highlight w:val="none"/>
        </w:rPr>
        <w:t>自觉抵制不正之风</w:t>
      </w:r>
      <w:r>
        <w:rPr>
          <w:rFonts w:hint="default" w:ascii="Times New Roman" w:hAnsi="Times New Roman" w:eastAsia="仿宋" w:cs="Times New Roman"/>
          <w:color w:val="auto"/>
          <w:spacing w:val="-17"/>
          <w:sz w:val="24"/>
          <w:szCs w:val="24"/>
          <w:highlight w:val="none"/>
        </w:rPr>
        <w:t>，</w:t>
      </w:r>
      <w:r>
        <w:rPr>
          <w:rFonts w:hint="default" w:ascii="Times New Roman" w:hAnsi="Times New Roman" w:eastAsia="仿宋" w:cs="Times New Roman"/>
          <w:color w:val="auto"/>
          <w:sz w:val="24"/>
          <w:szCs w:val="24"/>
          <w:highlight w:val="none"/>
        </w:rPr>
        <w:t>确保自身公正地位</w:t>
      </w:r>
      <w:r>
        <w:rPr>
          <w:rFonts w:hint="default" w:ascii="Times New Roman" w:hAnsi="Times New Roman" w:eastAsia="仿宋" w:cs="Times New Roman"/>
          <w:color w:val="auto"/>
          <w:spacing w:val="-16"/>
          <w:sz w:val="24"/>
          <w:szCs w:val="24"/>
          <w:highlight w:val="none"/>
        </w:rPr>
        <w:t>。</w:t>
      </w:r>
    </w:p>
    <w:p>
      <w:pPr>
        <w:spacing w:line="360" w:lineRule="auto"/>
        <w:ind w:firstLine="510"/>
        <w:rPr>
          <w:rFonts w:hint="default" w:ascii="Times New Roman" w:hAnsi="Times New Roman" w:eastAsia="仿宋" w:cs="Times New Roman"/>
          <w:color w:val="auto"/>
          <w:sz w:val="24"/>
          <w:szCs w:val="24"/>
          <w:highlight w:val="none"/>
        </w:rPr>
      </w:pPr>
      <w:r>
        <w:rPr>
          <w:rFonts w:hint="default" w:ascii="Times New Roman" w:hAnsi="Times New Roman" w:eastAsia="仿宋" w:cs="Times New Roman"/>
          <w:color w:val="auto"/>
          <w:sz w:val="24"/>
          <w:szCs w:val="24"/>
          <w:highlight w:val="none"/>
        </w:rPr>
        <w:t>（</w:t>
      </w:r>
      <w:r>
        <w:rPr>
          <w:rFonts w:hint="default" w:ascii="Times New Roman" w:hAnsi="Times New Roman" w:eastAsia="Times New Roman" w:cs="Times New Roman"/>
          <w:color w:val="auto"/>
          <w:sz w:val="24"/>
          <w:szCs w:val="24"/>
          <w:highlight w:val="none"/>
        </w:rPr>
        <w:t>4</w:t>
      </w:r>
      <w:r>
        <w:rPr>
          <w:rFonts w:hint="default" w:ascii="Times New Roman" w:hAnsi="Times New Roman" w:eastAsia="仿宋" w:cs="Times New Roman"/>
          <w:color w:val="auto"/>
          <w:spacing w:val="-16"/>
          <w:sz w:val="24"/>
          <w:szCs w:val="24"/>
          <w:highlight w:val="none"/>
        </w:rPr>
        <w:t>）</w:t>
      </w:r>
      <w:r>
        <w:rPr>
          <w:rFonts w:hint="default" w:ascii="Times New Roman" w:hAnsi="Times New Roman" w:eastAsia="仿宋" w:cs="Times New Roman"/>
          <w:color w:val="auto"/>
          <w:sz w:val="24"/>
          <w:szCs w:val="24"/>
          <w:highlight w:val="none"/>
        </w:rPr>
        <w:t>质量监督人员应加强业务学习</w:t>
      </w:r>
      <w:r>
        <w:rPr>
          <w:rFonts w:hint="default" w:ascii="Times New Roman" w:hAnsi="Times New Roman" w:eastAsia="仿宋" w:cs="Times New Roman"/>
          <w:color w:val="auto"/>
          <w:spacing w:val="-16"/>
          <w:sz w:val="24"/>
          <w:szCs w:val="24"/>
          <w:highlight w:val="none"/>
        </w:rPr>
        <w:t>，</w:t>
      </w:r>
      <w:r>
        <w:rPr>
          <w:rFonts w:hint="default" w:ascii="Times New Roman" w:hAnsi="Times New Roman" w:eastAsia="仿宋" w:cs="Times New Roman"/>
          <w:color w:val="auto"/>
          <w:sz w:val="24"/>
          <w:szCs w:val="24"/>
          <w:highlight w:val="none"/>
        </w:rPr>
        <w:t>熟读图纸规范及合同</w:t>
      </w:r>
      <w:r>
        <w:rPr>
          <w:rFonts w:hint="default" w:ascii="Times New Roman" w:hAnsi="Times New Roman" w:eastAsia="仿宋" w:cs="Times New Roman"/>
          <w:color w:val="auto"/>
          <w:spacing w:val="-15"/>
          <w:sz w:val="24"/>
          <w:szCs w:val="24"/>
          <w:highlight w:val="none"/>
        </w:rPr>
        <w:t>。</w:t>
      </w:r>
    </w:p>
    <w:p>
      <w:pPr>
        <w:spacing w:before="183" w:line="360" w:lineRule="auto"/>
        <w:ind w:left="72" w:right="121" w:firstLine="437"/>
        <w:rPr>
          <w:rFonts w:hint="default" w:ascii="Times New Roman" w:hAnsi="Times New Roman" w:eastAsia="仿宋" w:cs="Times New Roman"/>
          <w:color w:val="auto"/>
          <w:spacing w:val="-29"/>
          <w:sz w:val="24"/>
          <w:szCs w:val="24"/>
          <w:highlight w:val="none"/>
        </w:rPr>
      </w:pPr>
      <w:r>
        <w:rPr>
          <w:rFonts w:hint="eastAsia" w:ascii="Times New Roman" w:hAnsi="Times New Roman" w:cs="Times New Roman"/>
          <w:color w:val="auto"/>
          <w:sz w:val="24"/>
          <w:szCs w:val="24"/>
          <w:highlight w:val="none"/>
          <w:lang w:eastAsia="zh-CN"/>
        </w:rPr>
        <w:t>（</w:t>
      </w:r>
      <w:r>
        <w:rPr>
          <w:rFonts w:hint="eastAsia" w:ascii="Times New Roman" w:hAnsi="Times New Roman" w:cs="Times New Roman"/>
          <w:color w:val="auto"/>
          <w:sz w:val="24"/>
          <w:szCs w:val="24"/>
          <w:highlight w:val="none"/>
          <w:lang w:val="en-US" w:eastAsia="zh-CN"/>
        </w:rPr>
        <w:t>5</w:t>
      </w:r>
      <w:r>
        <w:rPr>
          <w:rFonts w:hint="eastAsia" w:ascii="Times New Roman" w:hAnsi="Times New Roman" w:cs="Times New Roman"/>
          <w:color w:val="auto"/>
          <w:sz w:val="24"/>
          <w:szCs w:val="24"/>
          <w:highlight w:val="none"/>
          <w:lang w:eastAsia="zh-CN"/>
        </w:rPr>
        <w:t>）</w:t>
      </w:r>
      <w:r>
        <w:rPr>
          <w:rFonts w:hint="default" w:ascii="Times New Roman" w:hAnsi="Times New Roman" w:eastAsia="仿宋" w:cs="Times New Roman"/>
          <w:color w:val="auto"/>
          <w:sz w:val="24"/>
          <w:szCs w:val="24"/>
          <w:highlight w:val="none"/>
        </w:rPr>
        <w:t>质量监督人员必须坚持科学的工作态度</w:t>
      </w:r>
      <w:r>
        <w:rPr>
          <w:rFonts w:hint="default" w:ascii="Times New Roman" w:hAnsi="Times New Roman" w:eastAsia="仿宋" w:cs="Times New Roman"/>
          <w:color w:val="auto"/>
          <w:spacing w:val="-11"/>
          <w:sz w:val="24"/>
          <w:szCs w:val="24"/>
          <w:highlight w:val="none"/>
        </w:rPr>
        <w:t>，</w:t>
      </w:r>
      <w:r>
        <w:rPr>
          <w:rFonts w:hint="default" w:ascii="Times New Roman" w:hAnsi="Times New Roman" w:eastAsia="仿宋" w:cs="Times New Roman"/>
          <w:color w:val="auto"/>
          <w:sz w:val="24"/>
          <w:szCs w:val="24"/>
          <w:highlight w:val="none"/>
        </w:rPr>
        <w:t>严格按国家规范</w:t>
      </w:r>
      <w:r>
        <w:rPr>
          <w:rFonts w:hint="default" w:ascii="Times New Roman" w:hAnsi="Times New Roman" w:eastAsia="仿宋" w:cs="Times New Roman"/>
          <w:color w:val="auto"/>
          <w:spacing w:val="-11"/>
          <w:sz w:val="24"/>
          <w:szCs w:val="24"/>
          <w:highlight w:val="none"/>
        </w:rPr>
        <w:t>、</w:t>
      </w:r>
      <w:r>
        <w:rPr>
          <w:rFonts w:hint="default" w:ascii="Times New Roman" w:hAnsi="Times New Roman" w:eastAsia="仿宋" w:cs="Times New Roman"/>
          <w:color w:val="auto"/>
          <w:sz w:val="24"/>
          <w:szCs w:val="24"/>
          <w:highlight w:val="none"/>
        </w:rPr>
        <w:t>标准实施监督</w:t>
      </w:r>
      <w:r>
        <w:rPr>
          <w:rFonts w:hint="default" w:ascii="Times New Roman" w:hAnsi="Times New Roman" w:eastAsia="仿宋" w:cs="Times New Roman"/>
          <w:color w:val="auto"/>
          <w:spacing w:val="-11"/>
          <w:sz w:val="24"/>
          <w:szCs w:val="24"/>
          <w:highlight w:val="none"/>
        </w:rPr>
        <w:t>，</w:t>
      </w:r>
      <w:r>
        <w:rPr>
          <w:rFonts w:hint="default" w:ascii="Times New Roman" w:hAnsi="Times New Roman" w:eastAsia="仿宋" w:cs="Times New Roman"/>
          <w:color w:val="auto"/>
          <w:sz w:val="24"/>
          <w:szCs w:val="24"/>
          <w:highlight w:val="none"/>
        </w:rPr>
        <w:t>以检查</w:t>
      </w:r>
      <w:r>
        <w:rPr>
          <w:rFonts w:hint="default" w:ascii="Times New Roman" w:hAnsi="Times New Roman" w:eastAsia="仿宋" w:cs="Times New Roman"/>
          <w:color w:val="auto"/>
          <w:spacing w:val="-29"/>
          <w:sz w:val="24"/>
          <w:szCs w:val="24"/>
          <w:highlight w:val="none"/>
        </w:rPr>
        <w:t>、</w:t>
      </w:r>
      <w:r>
        <w:rPr>
          <w:rFonts w:hint="default" w:ascii="Times New Roman" w:hAnsi="Times New Roman" w:eastAsia="仿宋" w:cs="Times New Roman"/>
          <w:color w:val="auto"/>
          <w:sz w:val="24"/>
          <w:szCs w:val="24"/>
          <w:highlight w:val="none"/>
        </w:rPr>
        <w:t>试验</w:t>
      </w:r>
      <w:r>
        <w:rPr>
          <w:rFonts w:hint="default" w:ascii="Times New Roman" w:hAnsi="Times New Roman" w:eastAsia="仿宋" w:cs="Times New Roman"/>
          <w:color w:val="auto"/>
          <w:spacing w:val="-29"/>
          <w:sz w:val="24"/>
          <w:szCs w:val="24"/>
          <w:highlight w:val="none"/>
        </w:rPr>
        <w:t>、</w:t>
      </w:r>
      <w:r>
        <w:rPr>
          <w:rFonts w:hint="default" w:ascii="Times New Roman" w:hAnsi="Times New Roman" w:eastAsia="仿宋" w:cs="Times New Roman"/>
          <w:color w:val="auto"/>
          <w:sz w:val="24"/>
          <w:szCs w:val="24"/>
          <w:highlight w:val="none"/>
        </w:rPr>
        <w:t>测量的数据为监督的主要依据</w:t>
      </w:r>
      <w:r>
        <w:rPr>
          <w:rFonts w:hint="default" w:ascii="Times New Roman" w:hAnsi="Times New Roman" w:eastAsia="仿宋" w:cs="Times New Roman"/>
          <w:color w:val="auto"/>
          <w:spacing w:val="-29"/>
          <w:sz w:val="24"/>
          <w:szCs w:val="24"/>
          <w:highlight w:val="none"/>
        </w:rPr>
        <w:t>。</w:t>
      </w:r>
    </w:p>
    <w:p>
      <w:pPr>
        <w:pStyle w:val="4"/>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4.1.6 质量管理评价结论</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为加强工程质量管理，提高工程施工质量，实现工程总体目标，在工程建设过程中，建设单位建立健全各项规章制度，将水土保持工作被纳入到主体工程管理，对监理单位和施工单位提出明确的质量要求。监理单位做到“事前控制、过程跟踪、事后检查”，对 工程项目实施全方位、全过程监理。施工单位建立以项目经理为第一质量责任人的质量 保证体系，对工程施工进行全面的质量管理。本工程的质量管理形成了完整的网络，实行全面工程质量管理。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综上所述，本项目水土保持工程的质量管理体系是健全和完善的。</w:t>
      </w:r>
    </w:p>
    <w:p>
      <w:pPr>
        <w:pStyle w:val="3"/>
        <w:bidi w:val="0"/>
        <w:spacing w:line="240" w:lineRule="auto"/>
        <w:rPr>
          <w:rFonts w:hint="default" w:ascii="Times New Roman" w:hAnsi="Times New Roman" w:eastAsia="黑体" w:cs="Times New Roman"/>
          <w:color w:val="auto"/>
          <w:szCs w:val="27"/>
          <w:highlight w:val="none"/>
        </w:rPr>
      </w:pPr>
      <w:bookmarkStart w:id="419" w:name="_Toc16548"/>
      <w:r>
        <w:rPr>
          <w:rFonts w:hint="default" w:ascii="Times New Roman" w:hAnsi="Times New Roman" w:cs="Times New Roman"/>
          <w:color w:val="auto"/>
          <w:highlight w:val="none"/>
        </w:rPr>
        <w:t>4.2 各防治分区水土保持工程质量评定</w:t>
      </w:r>
      <w:bookmarkEnd w:id="419"/>
    </w:p>
    <w:p>
      <w:pPr>
        <w:pStyle w:val="4"/>
        <w:bidi w:val="0"/>
        <w:spacing w:line="240" w:lineRule="auto"/>
        <w:rPr>
          <w:rFonts w:hint="default" w:ascii="Times New Roman" w:hAnsi="Times New Roman" w:cs="Times New Roman"/>
          <w:color w:val="auto"/>
          <w:highlight w:val="none"/>
        </w:rPr>
      </w:pPr>
      <w:r>
        <w:rPr>
          <w:rFonts w:hint="default" w:ascii="Times New Roman" w:hAnsi="Times New Roman" w:cs="Times New Roman"/>
          <w:color w:val="auto"/>
          <w:highlight w:val="none"/>
        </w:rPr>
        <w:t>4.2.1 项目划分及结果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根据《水土保持工程质量评定规程 SL336-2006》的规定， 水土保持工程质量评定应 划分为单位工程、分部工程、单元工程三个等级。质量评定时工程项目划分应在工程开 工前完成，由工程监理单位、设计与施工单位、建设单位等共同研究确定。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1、单位工程划分：斜坡防护工程、土地整治工程、临时防护工程、植被建设工程等。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 、分部工程划分：植物护坡、防洪排水、场地整治、拦挡、沉沙、排水、覆盖、点片状植被建设。</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 、单元工程划分：土方开挖、砌筑、浇筑等按方量划分，植物措施按图斑划分。</w:t>
      </w:r>
    </w:p>
    <w:p>
      <w:pPr>
        <w:pStyle w:val="3"/>
        <w:bidi w:val="0"/>
        <w:rPr>
          <w:rFonts w:hint="default" w:ascii="Times New Roman" w:hAnsi="Times New Roman" w:cs="Times New Roman"/>
          <w:color w:val="auto"/>
          <w:highlight w:val="none"/>
        </w:rPr>
      </w:pPr>
      <w:bookmarkStart w:id="420" w:name="_Toc31445"/>
      <w:r>
        <w:rPr>
          <w:rFonts w:hint="default" w:ascii="Times New Roman" w:hAnsi="Times New Roman" w:cs="Times New Roman"/>
          <w:color w:val="auto"/>
          <w:highlight w:val="none"/>
        </w:rPr>
        <w:t>4.3 总体质量评价</w:t>
      </w:r>
      <w:bookmarkEnd w:id="420"/>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sectPr>
          <w:headerReference r:id="rId30" w:type="default"/>
          <w:pgSz w:w="11906" w:h="16838"/>
          <w:pgMar w:top="1440" w:right="1440" w:bottom="1440" w:left="1440" w:header="851" w:footer="992" w:gutter="0"/>
          <w:pgNumType w:fmt="decimal"/>
          <w:cols w:space="425" w:num="1"/>
          <w:docGrid w:type="lines" w:linePitch="312" w:charSpace="0"/>
        </w:sectPr>
      </w:pPr>
      <w:r>
        <w:rPr>
          <w:rFonts w:hint="default" w:ascii="Times New Roman" w:hAnsi="Times New Roman" w:cs="Times New Roman"/>
          <w:color w:val="auto"/>
          <w:highlight w:val="none"/>
        </w:rPr>
        <w:t>建设单位在质量评估工作中检查了施工管理制度、工程质量检验和质量评定记录。水土保持工程措施在施工过程中全面实行了项目法人责任制、招标制和工程监理制，建立健全了“项目法人负责，监理单位控制，承包商保证，政府监督”的质量保证体系。水土保持工程的建设和管理亦纳入了整个工程的建设管理体系中。此外，又对主体工程区 的植被建设、排水沟和土地整治等措施进行了现场检查，认为以上各项工程措施布局合理、结构稳定、功能正常，基本无损坏。</w:t>
      </w:r>
    </w:p>
    <w:p>
      <w:pPr>
        <w:pStyle w:val="2"/>
        <w:bidi w:val="0"/>
        <w:spacing w:line="240" w:lineRule="auto"/>
        <w:rPr>
          <w:rFonts w:hint="default" w:ascii="Times New Roman" w:hAnsi="Times New Roman" w:cs="Times New Roman"/>
          <w:color w:val="auto"/>
          <w:highlight w:val="none"/>
          <w:lang w:val="en-US" w:eastAsia="zh-CN"/>
        </w:rPr>
      </w:pPr>
      <w:bookmarkStart w:id="421" w:name="_Toc3282"/>
      <w:r>
        <w:rPr>
          <w:rFonts w:hint="default" w:ascii="Times New Roman" w:hAnsi="Times New Roman" w:cs="Times New Roman"/>
          <w:color w:val="auto"/>
          <w:highlight w:val="none"/>
          <w:lang w:val="en-US" w:eastAsia="zh-CN"/>
        </w:rPr>
        <w:t>5 项目初期运行及水土保持效果</w:t>
      </w:r>
      <w:bookmarkEnd w:id="421"/>
    </w:p>
    <w:p>
      <w:pPr>
        <w:pStyle w:val="3"/>
        <w:bidi w:val="0"/>
        <w:rPr>
          <w:rFonts w:hint="default" w:ascii="Times New Roman" w:hAnsi="Times New Roman" w:cs="Times New Roman"/>
          <w:color w:val="auto"/>
          <w:highlight w:val="none"/>
          <w:lang w:val="en-US" w:eastAsia="zh-CN"/>
        </w:rPr>
      </w:pPr>
      <w:bookmarkStart w:id="422" w:name="_Toc803"/>
      <w:r>
        <w:rPr>
          <w:rFonts w:hint="default" w:ascii="Times New Roman" w:hAnsi="Times New Roman" w:cs="Times New Roman"/>
          <w:color w:val="auto"/>
          <w:highlight w:val="none"/>
          <w:lang w:val="en-US" w:eastAsia="zh-CN"/>
        </w:rPr>
        <w:t>5.1初期运行效果</w:t>
      </w:r>
      <w:bookmarkEnd w:id="422"/>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项目于 201</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 xml:space="preserve"> 年 </w:t>
      </w:r>
      <w:r>
        <w:rPr>
          <w:rFonts w:hint="default" w:ascii="Times New Roman" w:hAnsi="Times New Roman" w:cs="Times New Roman"/>
          <w:color w:val="auto"/>
          <w:highlight w:val="none"/>
          <w:lang w:val="en-US" w:eastAsia="zh-CN"/>
        </w:rPr>
        <w:t>10</w:t>
      </w:r>
      <w:r>
        <w:rPr>
          <w:rFonts w:hint="default" w:ascii="Times New Roman" w:hAnsi="Times New Roman" w:cs="Times New Roman"/>
          <w:color w:val="auto"/>
          <w:highlight w:val="none"/>
        </w:rPr>
        <w:t xml:space="preserve"> 月开工，20</w:t>
      </w:r>
      <w:r>
        <w:rPr>
          <w:rFonts w:hint="default" w:ascii="Times New Roman" w:hAnsi="Times New Roman" w:cs="Times New Roman"/>
          <w:color w:val="auto"/>
          <w:highlight w:val="none"/>
          <w:lang w:val="en-US" w:eastAsia="zh-CN"/>
        </w:rPr>
        <w:t>17</w:t>
      </w:r>
      <w:r>
        <w:rPr>
          <w:rFonts w:hint="default" w:ascii="Times New Roman" w:hAnsi="Times New Roman" w:cs="Times New Roman"/>
          <w:color w:val="auto"/>
          <w:highlight w:val="none"/>
        </w:rPr>
        <w:t xml:space="preserve"> 年 </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 xml:space="preserve"> 月底完工。主体工程中的水土保持措施已与主体工程同步实施， 各项治理措施已完成。本工程竣工运行后， 后续由湖南株冶有色金属有限公司对设施的运行和维护进行管理。湖南株冶有色金属有限公司管理按照先进管理体系的模式，建立相应的项目运行管 理机构，并逐级落实岗位责任制。从目前试运行情况看，水土保持工程管理责任明确，水土保持设施的正常运行得到了保证，取得了一定的效果。</w:t>
      </w:r>
    </w:p>
    <w:p>
      <w:pPr>
        <w:pStyle w:val="3"/>
        <w:bidi w:val="0"/>
        <w:spacing w:line="240" w:lineRule="auto"/>
        <w:rPr>
          <w:rFonts w:hint="default" w:ascii="Times New Roman" w:hAnsi="Times New Roman" w:cs="Times New Roman"/>
          <w:color w:val="auto"/>
          <w:highlight w:val="none"/>
          <w:lang w:val="en-US" w:eastAsia="zh-CN"/>
        </w:rPr>
      </w:pPr>
      <w:bookmarkStart w:id="423" w:name="_Toc13461"/>
      <w:r>
        <w:rPr>
          <w:rFonts w:hint="default" w:ascii="Times New Roman" w:hAnsi="Times New Roman" w:cs="Times New Roman"/>
          <w:color w:val="auto"/>
          <w:highlight w:val="none"/>
          <w:lang w:val="en-US" w:eastAsia="zh-CN"/>
        </w:rPr>
        <w:t>5.2 水土保持效果</w:t>
      </w:r>
      <w:bookmarkEnd w:id="423"/>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5.2.1 水土流失治理</w:t>
      </w:r>
    </w:p>
    <w:p>
      <w:pPr>
        <w:keepNext w:val="0"/>
        <w:keepLines w:val="0"/>
        <w:pageBreakBefore w:val="0"/>
        <w:widowControl w:val="0"/>
        <w:kinsoku/>
        <w:wordWrap/>
        <w:overflowPunct/>
        <w:topLinePunct w:val="0"/>
        <w:autoSpaceDE/>
        <w:autoSpaceDN/>
        <w:bidi w:val="0"/>
        <w:adjustRightInd/>
        <w:snapToGrid/>
        <w:spacing w:line="360" w:lineRule="auto"/>
        <w:ind w:firstLine="46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5"/>
          <w:highlight w:val="none"/>
        </w:rPr>
        <w:t>本项目实际扰动土地面积</w:t>
      </w:r>
      <w:r>
        <w:rPr>
          <w:rFonts w:hint="default" w:ascii="Times New Roman" w:hAnsi="Times New Roman" w:cs="Times New Roman"/>
          <w:color w:val="auto"/>
          <w:spacing w:val="-5"/>
          <w:highlight w:val="none"/>
          <w:lang w:val="en-US" w:eastAsia="zh-CN"/>
        </w:rPr>
        <w:t>为8.51</w:t>
      </w:r>
      <w:r>
        <w:rPr>
          <w:rFonts w:hint="default" w:ascii="Times New Roman" w:hAnsi="Times New Roman" w:eastAsia="Times New Roman" w:cs="Times New Roman"/>
          <w:color w:val="auto"/>
          <w:spacing w:val="-7"/>
          <w:highlight w:val="none"/>
        </w:rPr>
        <w:t>hm</w:t>
      </w:r>
      <w:r>
        <w:rPr>
          <w:rFonts w:hint="default" w:ascii="Times New Roman" w:hAnsi="Times New Roman" w:eastAsia="Times New Roman" w:cs="Times New Roman"/>
          <w:color w:val="auto"/>
          <w:spacing w:val="-7"/>
          <w:position w:val="9"/>
          <w:sz w:val="16"/>
          <w:highlight w:val="none"/>
        </w:rPr>
        <w:t>2</w:t>
      </w:r>
      <w:r>
        <w:rPr>
          <w:rFonts w:hint="default" w:ascii="Times New Roman" w:hAnsi="Times New Roman" w:cs="Times New Roman"/>
          <w:color w:val="auto"/>
          <w:spacing w:val="-7"/>
          <w:highlight w:val="none"/>
        </w:rPr>
        <w:t>，完成的扰动土地整治面积为</w:t>
      </w:r>
      <w:r>
        <w:rPr>
          <w:rFonts w:hint="default" w:ascii="Times New Roman" w:hAnsi="Times New Roman" w:cs="Times New Roman"/>
          <w:color w:val="auto"/>
          <w:spacing w:val="-7"/>
          <w:highlight w:val="none"/>
          <w:lang w:val="en-US" w:eastAsia="zh-CN"/>
        </w:rPr>
        <w:t>8.51</w:t>
      </w:r>
      <w:r>
        <w:rPr>
          <w:rFonts w:hint="default" w:ascii="Times New Roman" w:hAnsi="Times New Roman" w:eastAsia="Times New Roman" w:cs="Times New Roman"/>
          <w:color w:val="auto"/>
          <w:spacing w:val="-7"/>
          <w:highlight w:val="none"/>
        </w:rPr>
        <w:t>hm</w:t>
      </w:r>
      <w:r>
        <w:rPr>
          <w:rFonts w:hint="default" w:ascii="Times New Roman" w:hAnsi="Times New Roman" w:eastAsia="Times New Roman" w:cs="Times New Roman"/>
          <w:color w:val="auto"/>
          <w:spacing w:val="-7"/>
          <w:position w:val="9"/>
          <w:sz w:val="16"/>
          <w:highlight w:val="none"/>
        </w:rPr>
        <w:t>2</w:t>
      </w:r>
      <w:r>
        <w:rPr>
          <w:rFonts w:hint="default" w:ascii="Times New Roman" w:hAnsi="Times New Roman" w:cs="Times New Roman"/>
          <w:color w:val="auto"/>
          <w:spacing w:val="-3"/>
          <w:highlight w:val="none"/>
        </w:rPr>
        <w:t>，包括植物</w:t>
      </w:r>
      <w:r>
        <w:rPr>
          <w:rFonts w:hint="default" w:ascii="Times New Roman" w:hAnsi="Times New Roman" w:cs="Times New Roman"/>
          <w:color w:val="auto"/>
          <w:spacing w:val="-15"/>
          <w:highlight w:val="none"/>
        </w:rPr>
        <w:t xml:space="preserve">措施面积 </w:t>
      </w:r>
      <w:r>
        <w:rPr>
          <w:rFonts w:hint="default" w:ascii="Times New Roman" w:hAnsi="Times New Roman" w:eastAsia="Times New Roman" w:cs="Times New Roman"/>
          <w:color w:val="auto"/>
          <w:highlight w:val="none"/>
        </w:rPr>
        <w:t>1.98hm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8"/>
          <w:highlight w:val="none"/>
        </w:rPr>
        <w:t xml:space="preserve">，工程措施面积 </w:t>
      </w:r>
      <w:r>
        <w:rPr>
          <w:rFonts w:hint="default" w:ascii="Times New Roman" w:hAnsi="Times New Roman" w:eastAsia="Times New Roman" w:cs="Times New Roman"/>
          <w:color w:val="auto"/>
          <w:highlight w:val="none"/>
        </w:rPr>
        <w:t>0.23hm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highlight w:val="none"/>
        </w:rPr>
        <w:t>，各防治分区内建（构）</w:t>
      </w:r>
      <w:r>
        <w:rPr>
          <w:rFonts w:hint="default" w:ascii="Times New Roman" w:hAnsi="Times New Roman" w:cs="Times New Roman"/>
          <w:color w:val="auto"/>
          <w:spacing w:val="-2"/>
          <w:highlight w:val="none"/>
        </w:rPr>
        <w:t>筑物及场地、道路、</w:t>
      </w:r>
      <w:r>
        <w:rPr>
          <w:rFonts w:hint="default" w:ascii="Times New Roman" w:hAnsi="Times New Roman" w:cs="Times New Roman"/>
          <w:color w:val="auto"/>
          <w:spacing w:val="-8"/>
          <w:highlight w:val="none"/>
        </w:rPr>
        <w:t xml:space="preserve">硬化占地面积达 </w:t>
      </w:r>
      <w:r>
        <w:rPr>
          <w:rFonts w:hint="default" w:ascii="Times New Roman" w:hAnsi="Times New Roman" w:eastAsia="Times New Roman" w:cs="Times New Roman"/>
          <w:color w:val="auto"/>
          <w:spacing w:val="-3"/>
          <w:highlight w:val="none"/>
        </w:rPr>
        <w:t>5.02hm</w:t>
      </w:r>
      <w:r>
        <w:rPr>
          <w:rFonts w:hint="default" w:ascii="Times New Roman" w:hAnsi="Times New Roman" w:eastAsia="Times New Roman" w:cs="Times New Roman"/>
          <w:color w:val="auto"/>
          <w:spacing w:val="-3"/>
          <w:position w:val="9"/>
          <w:sz w:val="16"/>
          <w:highlight w:val="none"/>
        </w:rPr>
        <w:t>2</w:t>
      </w:r>
      <w:r>
        <w:rPr>
          <w:rFonts w:hint="default" w:ascii="Times New Roman" w:hAnsi="Times New Roman" w:cs="Times New Roman"/>
          <w:color w:val="auto"/>
          <w:spacing w:val="-6"/>
          <w:highlight w:val="none"/>
        </w:rPr>
        <w:t xml:space="preserve">，项目区平均扰动土地整治率为 </w:t>
      </w:r>
      <w:r>
        <w:rPr>
          <w:rFonts w:hint="default" w:ascii="Times New Roman" w:hAnsi="Times New Roman" w:eastAsia="Times New Roman" w:cs="Times New Roman"/>
          <w:color w:val="auto"/>
          <w:spacing w:val="-3"/>
          <w:highlight w:val="none"/>
        </w:rPr>
        <w:t>98.77%</w:t>
      </w:r>
      <w:r>
        <w:rPr>
          <w:rFonts w:hint="default" w:ascii="Times New Roman" w:hAnsi="Times New Roman" w:cs="Times New Roman"/>
          <w:color w:val="auto"/>
          <w:spacing w:val="-2"/>
          <w:highlight w:val="none"/>
        </w:rPr>
        <w:t>，达到方案防治标准的</w:t>
      </w:r>
      <w:r>
        <w:rPr>
          <w:rFonts w:hint="default" w:ascii="Times New Roman" w:hAnsi="Times New Roman" w:cs="Times New Roman"/>
          <w:color w:val="auto"/>
          <w:spacing w:val="-6"/>
          <w:highlight w:val="none"/>
        </w:rPr>
        <w:t>要求。本工程扰动土地整治情况分析见表</w:t>
      </w:r>
      <w:r>
        <w:rPr>
          <w:rFonts w:hint="default" w:ascii="Times New Roman" w:hAnsi="Times New Roman" w:cs="Times New Roman"/>
          <w:color w:val="auto"/>
          <w:spacing w:val="-6"/>
          <w:highlight w:val="none"/>
          <w:lang w:eastAsia="zh-CN"/>
        </w:rPr>
        <w:t>。</w:t>
      </w:r>
    </w:p>
    <w:p>
      <w:pPr>
        <w:pStyle w:val="8"/>
        <w:spacing w:before="125" w:after="25"/>
        <w:ind w:left="3573"/>
        <w:rPr>
          <w:rFonts w:hint="default" w:ascii="Times New Roman" w:hAnsi="Times New Roman" w:cs="Times New Roman"/>
          <w:color w:val="auto"/>
          <w:highlight w:val="none"/>
        </w:rPr>
      </w:pPr>
      <w:r>
        <w:rPr>
          <w:rFonts w:hint="default" w:ascii="Times New Roman" w:hAnsi="Times New Roman" w:cs="Times New Roman"/>
          <w:color w:val="auto"/>
          <w:highlight w:val="none"/>
        </w:rPr>
        <w:t>扰动土地整治率</w:t>
      </w:r>
    </w:p>
    <w:tbl>
      <w:tblPr>
        <w:tblStyle w:val="19"/>
        <w:tblW w:w="9045"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44"/>
        <w:gridCol w:w="1026"/>
        <w:gridCol w:w="1026"/>
        <w:gridCol w:w="1025"/>
        <w:gridCol w:w="1025"/>
        <w:gridCol w:w="1025"/>
        <w:gridCol w:w="1030"/>
        <w:gridCol w:w="1044"/>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844" w:type="dxa"/>
            <w:vMerge w:val="restart"/>
          </w:tcPr>
          <w:p>
            <w:pPr>
              <w:pStyle w:val="24"/>
              <w:jc w:val="left"/>
              <w:rPr>
                <w:rFonts w:hint="default" w:ascii="Times New Roman" w:hAnsi="Times New Roman" w:cs="Times New Roman"/>
                <w:color w:val="auto"/>
                <w:sz w:val="20"/>
                <w:highlight w:val="none"/>
              </w:rPr>
            </w:pPr>
          </w:p>
          <w:p>
            <w:pPr>
              <w:pStyle w:val="24"/>
              <w:spacing w:before="6"/>
              <w:jc w:val="left"/>
              <w:rPr>
                <w:rFonts w:hint="default" w:ascii="Times New Roman" w:hAnsi="Times New Roman" w:cs="Times New Roman"/>
                <w:color w:val="auto"/>
                <w:sz w:val="23"/>
                <w:highlight w:val="none"/>
              </w:rPr>
            </w:pPr>
          </w:p>
          <w:p>
            <w:pPr>
              <w:pStyle w:val="24"/>
              <w:spacing w:before="1"/>
              <w:ind w:left="375" w:right="367"/>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分区</w:t>
            </w:r>
          </w:p>
        </w:tc>
        <w:tc>
          <w:tcPr>
            <w:tcW w:w="1026" w:type="dxa"/>
            <w:vMerge w:val="restart"/>
          </w:tcPr>
          <w:p>
            <w:pPr>
              <w:pStyle w:val="24"/>
              <w:jc w:val="left"/>
              <w:rPr>
                <w:rFonts w:hint="default" w:ascii="Times New Roman" w:hAnsi="Times New Roman" w:cs="Times New Roman"/>
                <w:color w:val="auto"/>
                <w:sz w:val="20"/>
                <w:highlight w:val="none"/>
              </w:rPr>
            </w:pPr>
          </w:p>
          <w:p>
            <w:pPr>
              <w:pStyle w:val="24"/>
              <w:spacing w:before="164" w:line="242" w:lineRule="auto"/>
              <w:ind w:left="406" w:right="187" w:hanging="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占地面积</w:t>
            </w:r>
          </w:p>
        </w:tc>
        <w:tc>
          <w:tcPr>
            <w:tcW w:w="1026" w:type="dxa"/>
            <w:vMerge w:val="restart"/>
          </w:tcPr>
          <w:p>
            <w:pPr>
              <w:pStyle w:val="24"/>
              <w:jc w:val="left"/>
              <w:rPr>
                <w:rFonts w:hint="default" w:ascii="Times New Roman" w:hAnsi="Times New Roman" w:cs="Times New Roman"/>
                <w:color w:val="auto"/>
                <w:sz w:val="20"/>
                <w:highlight w:val="none"/>
              </w:rPr>
            </w:pPr>
          </w:p>
          <w:p>
            <w:pPr>
              <w:pStyle w:val="24"/>
              <w:spacing w:before="164" w:line="242" w:lineRule="auto"/>
              <w:ind w:left="406" w:right="187" w:hanging="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扰动面积</w:t>
            </w:r>
          </w:p>
        </w:tc>
        <w:tc>
          <w:tcPr>
            <w:tcW w:w="4105" w:type="dxa"/>
            <w:gridSpan w:val="4"/>
          </w:tcPr>
          <w:p>
            <w:pPr>
              <w:pStyle w:val="24"/>
              <w:spacing w:before="8" w:line="259" w:lineRule="exact"/>
              <w:ind w:left="1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扰动土地治理面积</w:t>
            </w:r>
          </w:p>
        </w:tc>
        <w:tc>
          <w:tcPr>
            <w:tcW w:w="1044" w:type="dxa"/>
            <w:vMerge w:val="restart"/>
          </w:tcPr>
          <w:p>
            <w:pPr>
              <w:pStyle w:val="24"/>
              <w:spacing w:before="3"/>
              <w:jc w:val="left"/>
              <w:rPr>
                <w:rFonts w:hint="default" w:ascii="Times New Roman" w:hAnsi="Times New Roman" w:cs="Times New Roman"/>
                <w:color w:val="auto"/>
                <w:sz w:val="22"/>
                <w:highlight w:val="none"/>
              </w:rPr>
            </w:pPr>
          </w:p>
          <w:p>
            <w:pPr>
              <w:pStyle w:val="24"/>
              <w:spacing w:line="242" w:lineRule="auto"/>
              <w:ind w:left="204" w:right="197"/>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扰动土地整治率%</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089" w:hRule="atLeast"/>
          <w:jc w:val="center"/>
        </w:trPr>
        <w:tc>
          <w:tcPr>
            <w:tcW w:w="1844" w:type="dxa"/>
            <w:vMerge w:val="continue"/>
            <w:tcBorders>
              <w:top w:val="nil"/>
            </w:tcBorders>
          </w:tcPr>
          <w:p>
            <w:pPr>
              <w:rPr>
                <w:rFonts w:hint="default" w:ascii="Times New Roman" w:hAnsi="Times New Roman" w:cs="Times New Roman"/>
                <w:color w:val="auto"/>
                <w:sz w:val="2"/>
                <w:szCs w:val="2"/>
                <w:highlight w:val="none"/>
              </w:rPr>
            </w:pPr>
          </w:p>
        </w:tc>
        <w:tc>
          <w:tcPr>
            <w:tcW w:w="1026" w:type="dxa"/>
            <w:vMerge w:val="continue"/>
            <w:tcBorders>
              <w:top w:val="nil"/>
            </w:tcBorders>
          </w:tcPr>
          <w:p>
            <w:pPr>
              <w:rPr>
                <w:rFonts w:hint="default" w:ascii="Times New Roman" w:hAnsi="Times New Roman" w:cs="Times New Roman"/>
                <w:color w:val="auto"/>
                <w:sz w:val="2"/>
                <w:szCs w:val="2"/>
                <w:highlight w:val="none"/>
              </w:rPr>
            </w:pPr>
          </w:p>
        </w:tc>
        <w:tc>
          <w:tcPr>
            <w:tcW w:w="1026" w:type="dxa"/>
            <w:vMerge w:val="continue"/>
            <w:tcBorders>
              <w:top w:val="nil"/>
            </w:tcBorders>
          </w:tcPr>
          <w:p>
            <w:pPr>
              <w:rPr>
                <w:rFonts w:hint="default" w:ascii="Times New Roman" w:hAnsi="Times New Roman" w:cs="Times New Roman"/>
                <w:color w:val="auto"/>
                <w:sz w:val="2"/>
                <w:szCs w:val="2"/>
                <w:highlight w:val="none"/>
              </w:rPr>
            </w:pPr>
          </w:p>
        </w:tc>
        <w:tc>
          <w:tcPr>
            <w:tcW w:w="1025" w:type="dxa"/>
          </w:tcPr>
          <w:p>
            <w:pPr>
              <w:pStyle w:val="24"/>
              <w:spacing w:before="3"/>
              <w:jc w:val="left"/>
              <w:rPr>
                <w:rFonts w:hint="default" w:ascii="Times New Roman" w:hAnsi="Times New Roman" w:cs="Times New Roman"/>
                <w:color w:val="auto"/>
                <w:sz w:val="21"/>
                <w:highlight w:val="none"/>
              </w:rPr>
            </w:pPr>
          </w:p>
          <w:p>
            <w:pPr>
              <w:pStyle w:val="24"/>
              <w:spacing w:line="242" w:lineRule="auto"/>
              <w:ind w:left="405" w:right="187" w:hanging="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植物措施</w:t>
            </w:r>
          </w:p>
        </w:tc>
        <w:tc>
          <w:tcPr>
            <w:tcW w:w="1025" w:type="dxa"/>
          </w:tcPr>
          <w:p>
            <w:pPr>
              <w:pStyle w:val="24"/>
              <w:spacing w:before="3"/>
              <w:jc w:val="left"/>
              <w:rPr>
                <w:rFonts w:hint="default" w:ascii="Times New Roman" w:hAnsi="Times New Roman" w:cs="Times New Roman"/>
                <w:color w:val="auto"/>
                <w:sz w:val="21"/>
                <w:highlight w:val="none"/>
              </w:rPr>
            </w:pPr>
          </w:p>
          <w:p>
            <w:pPr>
              <w:pStyle w:val="24"/>
              <w:spacing w:line="242" w:lineRule="auto"/>
              <w:ind w:left="405" w:right="187" w:hanging="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工程措施</w:t>
            </w:r>
          </w:p>
        </w:tc>
        <w:tc>
          <w:tcPr>
            <w:tcW w:w="1025" w:type="dxa"/>
          </w:tcPr>
          <w:p>
            <w:pPr>
              <w:pStyle w:val="24"/>
              <w:spacing w:line="240" w:lineRule="auto"/>
              <w:ind w:left="196" w:right="186"/>
              <w:jc w:val="center"/>
              <w:rPr>
                <w:rFonts w:hint="default" w:ascii="Times New Roman" w:hAnsi="Times New Roman" w:cs="Times New Roman"/>
                <w:color w:val="auto"/>
                <w:sz w:val="21"/>
                <w:highlight w:val="none"/>
              </w:rPr>
            </w:pPr>
            <w:r>
              <w:rPr>
                <w:rFonts w:hint="default" w:ascii="Times New Roman" w:hAnsi="Times New Roman" w:cs="Times New Roman"/>
                <w:color w:val="auto"/>
                <w:spacing w:val="-6"/>
                <w:sz w:val="21"/>
                <w:highlight w:val="none"/>
              </w:rPr>
              <w:t>建筑物及场地道路硬</w:t>
            </w:r>
          </w:p>
          <w:p>
            <w:pPr>
              <w:pStyle w:val="24"/>
              <w:spacing w:before="1" w:line="240" w:lineRule="auto"/>
              <w:ind w:left="196"/>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化面积</w:t>
            </w:r>
          </w:p>
        </w:tc>
        <w:tc>
          <w:tcPr>
            <w:tcW w:w="1030" w:type="dxa"/>
          </w:tcPr>
          <w:p>
            <w:pPr>
              <w:pStyle w:val="24"/>
              <w:jc w:val="left"/>
              <w:rPr>
                <w:rFonts w:hint="default" w:ascii="Times New Roman" w:hAnsi="Times New Roman" w:cs="Times New Roman"/>
                <w:color w:val="auto"/>
                <w:sz w:val="20"/>
                <w:highlight w:val="none"/>
              </w:rPr>
            </w:pPr>
          </w:p>
          <w:p>
            <w:pPr>
              <w:pStyle w:val="24"/>
              <w:spacing w:before="152"/>
              <w:ind w:left="303"/>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小计</w:t>
            </w:r>
          </w:p>
        </w:tc>
        <w:tc>
          <w:tcPr>
            <w:tcW w:w="1044" w:type="dxa"/>
            <w:vMerge w:val="continue"/>
            <w:tcBorders>
              <w:top w:val="nil"/>
            </w:tcBorders>
          </w:tcPr>
          <w:p>
            <w:pPr>
              <w:rPr>
                <w:rFonts w:hint="default" w:ascii="Times New Roman" w:hAnsi="Times New Roman" w:cs="Times New Roman"/>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主体工程区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3.80</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zh-CN" w:eastAsia="zh-CN" w:bidi="ar-SA"/>
              </w:rPr>
            </w:pPr>
            <w:r>
              <w:rPr>
                <w:rFonts w:hint="default" w:ascii="Times New Roman" w:hAnsi="Times New Roman" w:cs="Times New Roman"/>
                <w:color w:val="auto"/>
                <w:sz w:val="21"/>
                <w:szCs w:val="21"/>
                <w:highlight w:val="none"/>
                <w:vertAlign w:val="baseline"/>
                <w:lang w:val="en-US" w:eastAsia="zh-CN"/>
              </w:rPr>
              <w:t>3.80</w:t>
            </w:r>
          </w:p>
        </w:tc>
        <w:tc>
          <w:tcPr>
            <w:tcW w:w="1025" w:type="dxa"/>
            <w:vAlign w:val="center"/>
          </w:tcPr>
          <w:p>
            <w:pPr>
              <w:pStyle w:val="24"/>
              <w:spacing w:line="240"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0.60</w:t>
            </w:r>
          </w:p>
        </w:tc>
        <w:tc>
          <w:tcPr>
            <w:tcW w:w="1025" w:type="dxa"/>
            <w:vAlign w:val="center"/>
          </w:tcPr>
          <w:p>
            <w:pPr>
              <w:pStyle w:val="24"/>
              <w:spacing w:line="240" w:lineRule="exact"/>
              <w:ind w:left="304" w:right="299"/>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0.00</w:t>
            </w:r>
          </w:p>
        </w:tc>
        <w:tc>
          <w:tcPr>
            <w:tcW w:w="1025" w:type="dxa"/>
            <w:vAlign w:val="center"/>
          </w:tcPr>
          <w:p>
            <w:pPr>
              <w:pStyle w:val="24"/>
              <w:spacing w:line="240" w:lineRule="exact"/>
              <w:ind w:left="328"/>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3.20</w:t>
            </w:r>
          </w:p>
        </w:tc>
        <w:tc>
          <w:tcPr>
            <w:tcW w:w="1030" w:type="dxa"/>
            <w:vAlign w:val="center"/>
          </w:tcPr>
          <w:p>
            <w:pPr>
              <w:pStyle w:val="24"/>
              <w:spacing w:line="240"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3.78</w:t>
            </w:r>
          </w:p>
        </w:tc>
        <w:tc>
          <w:tcPr>
            <w:tcW w:w="1044" w:type="dxa"/>
            <w:vAlign w:val="center"/>
          </w:tcPr>
          <w:p>
            <w:pPr>
              <w:pStyle w:val="24"/>
              <w:spacing w:line="240"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99.47%</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附属设施区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zh-CN" w:eastAsia="zh-CN" w:bidi="ar-SA"/>
              </w:rPr>
            </w:pPr>
            <w:r>
              <w:rPr>
                <w:rFonts w:hint="default" w:ascii="Times New Roman" w:hAnsi="Times New Roman" w:cs="Times New Roman"/>
                <w:color w:val="auto"/>
                <w:sz w:val="21"/>
                <w:szCs w:val="21"/>
                <w:highlight w:val="none"/>
                <w:vertAlign w:val="baseline"/>
                <w:lang w:val="en-US" w:eastAsia="zh-CN"/>
              </w:rPr>
              <w:t>1.41</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1.34</w:t>
            </w:r>
          </w:p>
        </w:tc>
        <w:tc>
          <w:tcPr>
            <w:tcW w:w="1025" w:type="dxa"/>
            <w:vAlign w:val="center"/>
          </w:tcPr>
          <w:p>
            <w:pPr>
              <w:pStyle w:val="24"/>
              <w:jc w:val="center"/>
              <w:rPr>
                <w:rFonts w:hint="default" w:ascii="Times New Roman" w:hAnsi="Times New Roman" w:eastAsia="仿宋" w:cs="Times New Roman"/>
                <w:color w:val="auto"/>
                <w:sz w:val="20"/>
                <w:highlight w:val="none"/>
                <w:lang w:val="en-US" w:eastAsia="zh-CN"/>
              </w:rPr>
            </w:pPr>
            <w:r>
              <w:rPr>
                <w:rFonts w:hint="default" w:ascii="Times New Roman" w:hAnsi="Times New Roman" w:cs="Times New Roman"/>
                <w:color w:val="auto"/>
                <w:sz w:val="20"/>
                <w:highlight w:val="none"/>
                <w:lang w:val="en-US" w:eastAsia="zh-CN"/>
              </w:rPr>
              <w:t>0.03</w:t>
            </w:r>
          </w:p>
        </w:tc>
        <w:tc>
          <w:tcPr>
            <w:tcW w:w="1025" w:type="dxa"/>
            <w:vAlign w:val="center"/>
          </w:tcPr>
          <w:p>
            <w:pPr>
              <w:pStyle w:val="24"/>
              <w:spacing w:line="241" w:lineRule="exact"/>
              <w:ind w:left="328"/>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0.03</w:t>
            </w:r>
          </w:p>
        </w:tc>
        <w:tc>
          <w:tcPr>
            <w:tcW w:w="1030" w:type="dxa"/>
            <w:vAlign w:val="center"/>
          </w:tcPr>
          <w:p>
            <w:pPr>
              <w:pStyle w:val="24"/>
              <w:spacing w:line="241"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1.41</w:t>
            </w:r>
          </w:p>
        </w:tc>
        <w:tc>
          <w:tcPr>
            <w:tcW w:w="1044" w:type="dxa"/>
            <w:vAlign w:val="center"/>
          </w:tcPr>
          <w:p>
            <w:pPr>
              <w:pStyle w:val="24"/>
              <w:spacing w:line="241"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弃渣回填区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zh-CN"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1025" w:type="dxa"/>
            <w:vAlign w:val="center"/>
          </w:tcPr>
          <w:p>
            <w:pPr>
              <w:pStyle w:val="24"/>
              <w:spacing w:line="240"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0.81</w:t>
            </w:r>
          </w:p>
        </w:tc>
        <w:tc>
          <w:tcPr>
            <w:tcW w:w="1025" w:type="dxa"/>
            <w:vAlign w:val="center"/>
          </w:tcPr>
          <w:p>
            <w:pPr>
              <w:pStyle w:val="24"/>
              <w:jc w:val="center"/>
              <w:rPr>
                <w:rFonts w:hint="default" w:ascii="Times New Roman" w:hAnsi="Times New Roman" w:eastAsia="仿宋" w:cs="Times New Roman"/>
                <w:color w:val="auto"/>
                <w:sz w:val="20"/>
                <w:highlight w:val="none"/>
                <w:lang w:val="en-US" w:eastAsia="zh-CN"/>
              </w:rPr>
            </w:pPr>
            <w:r>
              <w:rPr>
                <w:rFonts w:hint="default" w:ascii="Times New Roman" w:hAnsi="Times New Roman" w:cs="Times New Roman"/>
                <w:color w:val="auto"/>
                <w:sz w:val="20"/>
                <w:highlight w:val="none"/>
                <w:lang w:val="en-US" w:eastAsia="zh-CN"/>
              </w:rPr>
              <w:t>0.02</w:t>
            </w:r>
          </w:p>
        </w:tc>
        <w:tc>
          <w:tcPr>
            <w:tcW w:w="1025" w:type="dxa"/>
            <w:vAlign w:val="center"/>
          </w:tcPr>
          <w:p>
            <w:pPr>
              <w:pStyle w:val="24"/>
              <w:spacing w:line="240" w:lineRule="exact"/>
              <w:ind w:left="328"/>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0.00</w:t>
            </w:r>
          </w:p>
        </w:tc>
        <w:tc>
          <w:tcPr>
            <w:tcW w:w="1030" w:type="dxa"/>
            <w:vAlign w:val="center"/>
          </w:tcPr>
          <w:p>
            <w:pPr>
              <w:pStyle w:val="24"/>
              <w:spacing w:line="240"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0.84</w:t>
            </w:r>
          </w:p>
        </w:tc>
        <w:tc>
          <w:tcPr>
            <w:tcW w:w="1044" w:type="dxa"/>
            <w:vAlign w:val="center"/>
          </w:tcPr>
          <w:p>
            <w:pPr>
              <w:pStyle w:val="24"/>
              <w:spacing w:line="240"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取土场区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2.00</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zh-CN" w:eastAsia="zh-CN" w:bidi="ar-SA"/>
              </w:rPr>
            </w:pPr>
            <w:r>
              <w:rPr>
                <w:rFonts w:hint="default" w:ascii="Times New Roman" w:hAnsi="Times New Roman" w:cs="Times New Roman"/>
                <w:color w:val="auto"/>
                <w:sz w:val="21"/>
                <w:szCs w:val="21"/>
                <w:highlight w:val="none"/>
                <w:vertAlign w:val="baseline"/>
                <w:lang w:val="en-US" w:eastAsia="zh-CN"/>
              </w:rPr>
              <w:t>2.00</w:t>
            </w:r>
          </w:p>
        </w:tc>
        <w:tc>
          <w:tcPr>
            <w:tcW w:w="1025" w:type="dxa"/>
            <w:vAlign w:val="center"/>
          </w:tcPr>
          <w:p>
            <w:pPr>
              <w:pStyle w:val="24"/>
              <w:spacing w:line="240"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1.93</w:t>
            </w:r>
          </w:p>
        </w:tc>
        <w:tc>
          <w:tcPr>
            <w:tcW w:w="1025" w:type="dxa"/>
            <w:vAlign w:val="center"/>
          </w:tcPr>
          <w:p>
            <w:pPr>
              <w:pStyle w:val="24"/>
              <w:spacing w:line="240" w:lineRule="exact"/>
              <w:ind w:left="306" w:right="299"/>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0.04</w:t>
            </w:r>
          </w:p>
        </w:tc>
        <w:tc>
          <w:tcPr>
            <w:tcW w:w="1025" w:type="dxa"/>
            <w:vAlign w:val="center"/>
          </w:tcPr>
          <w:p>
            <w:pPr>
              <w:pStyle w:val="24"/>
              <w:spacing w:line="240" w:lineRule="exact"/>
              <w:ind w:left="328"/>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0.00</w:t>
            </w:r>
          </w:p>
        </w:tc>
        <w:tc>
          <w:tcPr>
            <w:tcW w:w="1030" w:type="dxa"/>
            <w:vAlign w:val="center"/>
          </w:tcPr>
          <w:p>
            <w:pPr>
              <w:pStyle w:val="24"/>
              <w:spacing w:line="240"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2.00</w:t>
            </w:r>
          </w:p>
        </w:tc>
        <w:tc>
          <w:tcPr>
            <w:tcW w:w="1044" w:type="dxa"/>
            <w:vAlign w:val="center"/>
          </w:tcPr>
          <w:p>
            <w:pPr>
              <w:pStyle w:val="24"/>
              <w:spacing w:line="240"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施工便道区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0.05</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0.00</w:t>
            </w:r>
          </w:p>
        </w:tc>
        <w:tc>
          <w:tcPr>
            <w:tcW w:w="1025" w:type="dxa"/>
            <w:vAlign w:val="center"/>
          </w:tcPr>
          <w:p>
            <w:pPr>
              <w:pStyle w:val="24"/>
              <w:spacing w:line="241" w:lineRule="exact"/>
              <w:ind w:left="328"/>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0.00</w:t>
            </w:r>
          </w:p>
        </w:tc>
        <w:tc>
          <w:tcPr>
            <w:tcW w:w="1030" w:type="dxa"/>
            <w:vAlign w:val="center"/>
          </w:tcPr>
          <w:p>
            <w:pPr>
              <w:pStyle w:val="24"/>
              <w:spacing w:line="241"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0.05</w:t>
            </w:r>
          </w:p>
        </w:tc>
        <w:tc>
          <w:tcPr>
            <w:tcW w:w="1044" w:type="dxa"/>
            <w:vAlign w:val="center"/>
          </w:tcPr>
          <w:p>
            <w:pPr>
              <w:pStyle w:val="24"/>
              <w:spacing w:line="241"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施工生产生活区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0.20</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0.00</w:t>
            </w:r>
          </w:p>
        </w:tc>
        <w:tc>
          <w:tcPr>
            <w:tcW w:w="1025" w:type="dxa"/>
            <w:vAlign w:val="center"/>
          </w:tcPr>
          <w:p>
            <w:pPr>
              <w:pStyle w:val="24"/>
              <w:spacing w:line="241" w:lineRule="exact"/>
              <w:ind w:left="328"/>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0.00</w:t>
            </w:r>
          </w:p>
        </w:tc>
        <w:tc>
          <w:tcPr>
            <w:tcW w:w="1030" w:type="dxa"/>
            <w:vAlign w:val="center"/>
          </w:tcPr>
          <w:p>
            <w:pPr>
              <w:pStyle w:val="24"/>
              <w:spacing w:line="241"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0.20</w:t>
            </w:r>
          </w:p>
        </w:tc>
        <w:tc>
          <w:tcPr>
            <w:tcW w:w="1044" w:type="dxa"/>
            <w:vAlign w:val="center"/>
          </w:tcPr>
          <w:p>
            <w:pPr>
              <w:pStyle w:val="24"/>
              <w:spacing w:line="241"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844"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临时堆放区</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0.21</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0.21</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0.00</w:t>
            </w:r>
          </w:p>
        </w:tc>
        <w:tc>
          <w:tcPr>
            <w:tcW w:w="1025" w:type="dxa"/>
            <w:vAlign w:val="center"/>
          </w:tcPr>
          <w:p>
            <w:pPr>
              <w:pStyle w:val="24"/>
              <w:spacing w:line="241" w:lineRule="exact"/>
              <w:ind w:left="328"/>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0.00</w:t>
            </w:r>
          </w:p>
        </w:tc>
        <w:tc>
          <w:tcPr>
            <w:tcW w:w="1030" w:type="dxa"/>
            <w:vAlign w:val="center"/>
          </w:tcPr>
          <w:p>
            <w:pPr>
              <w:pStyle w:val="24"/>
              <w:spacing w:line="241"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0.21</w:t>
            </w:r>
          </w:p>
        </w:tc>
        <w:tc>
          <w:tcPr>
            <w:tcW w:w="1044" w:type="dxa"/>
            <w:vAlign w:val="center"/>
          </w:tcPr>
          <w:p>
            <w:pPr>
              <w:pStyle w:val="24"/>
              <w:spacing w:line="241"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844" w:type="dxa"/>
            <w:vAlign w:val="center"/>
          </w:tcPr>
          <w:p>
            <w:pPr>
              <w:pStyle w:val="24"/>
              <w:spacing w:before="8" w:line="261" w:lineRule="exact"/>
              <w:ind w:left="375" w:right="367"/>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总计</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8.51</w:t>
            </w:r>
          </w:p>
        </w:tc>
        <w:tc>
          <w:tcPr>
            <w:tcW w:w="1026"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8.51</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5.13</w:t>
            </w:r>
          </w:p>
        </w:tc>
        <w:tc>
          <w:tcPr>
            <w:tcW w:w="1025" w:type="dxa"/>
            <w:vAlign w:val="center"/>
          </w:tcPr>
          <w:p>
            <w:pPr>
              <w:pStyle w:val="24"/>
              <w:spacing w:line="241" w:lineRule="exact"/>
              <w:ind w:left="306" w:right="298"/>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0.09</w:t>
            </w:r>
          </w:p>
        </w:tc>
        <w:tc>
          <w:tcPr>
            <w:tcW w:w="1025" w:type="dxa"/>
            <w:vAlign w:val="center"/>
          </w:tcPr>
          <w:p>
            <w:pPr>
              <w:pStyle w:val="24"/>
              <w:spacing w:line="241" w:lineRule="exact"/>
              <w:ind w:left="328"/>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2.66</w:t>
            </w:r>
          </w:p>
        </w:tc>
        <w:tc>
          <w:tcPr>
            <w:tcW w:w="1030" w:type="dxa"/>
            <w:vAlign w:val="center"/>
          </w:tcPr>
          <w:p>
            <w:pPr>
              <w:pStyle w:val="24"/>
              <w:spacing w:line="241" w:lineRule="exact"/>
              <w:ind w:left="329"/>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8.49</w:t>
            </w:r>
          </w:p>
        </w:tc>
        <w:tc>
          <w:tcPr>
            <w:tcW w:w="1044" w:type="dxa"/>
            <w:vAlign w:val="center"/>
          </w:tcPr>
          <w:p>
            <w:pPr>
              <w:pStyle w:val="24"/>
              <w:spacing w:line="241" w:lineRule="exact"/>
              <w:ind w:right="186"/>
              <w:jc w:val="center"/>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99.92%</w:t>
            </w:r>
          </w:p>
        </w:tc>
      </w:tr>
    </w:tbl>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5.2.2 水土流失总治理程度</w:t>
      </w:r>
    </w:p>
    <w:p>
      <w:pPr>
        <w:keepNext w:val="0"/>
        <w:keepLines w:val="0"/>
        <w:pageBreakBefore w:val="0"/>
        <w:widowControl w:val="0"/>
        <w:kinsoku/>
        <w:wordWrap/>
        <w:overflowPunct/>
        <w:topLinePunct w:val="0"/>
        <w:autoSpaceDE/>
        <w:autoSpaceDN/>
        <w:bidi w:val="0"/>
        <w:adjustRightInd/>
        <w:snapToGrid/>
        <w:spacing w:line="360" w:lineRule="auto"/>
        <w:ind w:firstLine="476" w:firstLineChars="200"/>
        <w:textAlignment w:val="auto"/>
        <w:rPr>
          <w:rFonts w:hint="default" w:ascii="Times New Roman" w:hAnsi="Times New Roman" w:cs="Times New Roman"/>
          <w:color w:val="auto"/>
          <w:spacing w:val="-4"/>
          <w:highlight w:val="none"/>
          <w:lang w:eastAsia="zh-CN"/>
        </w:rPr>
      </w:pPr>
      <w:r>
        <w:rPr>
          <w:rFonts w:hint="default" w:ascii="Times New Roman" w:hAnsi="Times New Roman" w:cs="Times New Roman"/>
          <w:color w:val="auto"/>
          <w:spacing w:val="-1"/>
          <w:highlight w:val="none"/>
        </w:rPr>
        <w:t>主体工程区实际扰动土地范围除去建</w:t>
      </w:r>
      <w:r>
        <w:rPr>
          <w:rFonts w:hint="default" w:ascii="Times New Roman" w:hAnsi="Times New Roman" w:cs="Times New Roman"/>
          <w:color w:val="auto"/>
          <w:highlight w:val="none"/>
        </w:rPr>
        <w:t>（构</w:t>
      </w:r>
      <w:r>
        <w:rPr>
          <w:rFonts w:hint="default" w:ascii="Times New Roman" w:hAnsi="Times New Roman" w:cs="Times New Roman"/>
          <w:color w:val="auto"/>
          <w:spacing w:val="-9"/>
          <w:highlight w:val="none"/>
        </w:rPr>
        <w:t>）</w:t>
      </w:r>
      <w:r>
        <w:rPr>
          <w:rFonts w:hint="default" w:ascii="Times New Roman" w:hAnsi="Times New Roman" w:cs="Times New Roman"/>
          <w:color w:val="auto"/>
          <w:spacing w:val="-6"/>
          <w:highlight w:val="none"/>
        </w:rPr>
        <w:t>筑物、场地、道路、硬化占地面积，实</w:t>
      </w:r>
      <w:r>
        <w:rPr>
          <w:rFonts w:hint="default" w:ascii="Times New Roman" w:hAnsi="Times New Roman" w:cs="Times New Roman"/>
          <w:color w:val="auto"/>
          <w:spacing w:val="-12"/>
          <w:highlight w:val="none"/>
        </w:rPr>
        <w:t xml:space="preserve">际造成水土流失面积 </w:t>
      </w:r>
      <w:r>
        <w:rPr>
          <w:rFonts w:hint="default" w:ascii="Times New Roman" w:hAnsi="Times New Roman" w:cs="Times New Roman"/>
          <w:color w:val="auto"/>
          <w:spacing w:val="-12"/>
          <w:highlight w:val="none"/>
          <w:lang w:val="en-US" w:eastAsia="zh-CN"/>
        </w:rPr>
        <w:t>5.85</w:t>
      </w:r>
      <w:r>
        <w:rPr>
          <w:rFonts w:hint="default" w:ascii="Times New Roman" w:hAnsi="Times New Roman" w:eastAsia="Times New Roman" w:cs="Times New Roman"/>
          <w:color w:val="auto"/>
          <w:highlight w:val="none"/>
        </w:rPr>
        <w:t>h</w:t>
      </w:r>
      <w:r>
        <w:rPr>
          <w:rFonts w:hint="default" w:ascii="Times New Roman" w:hAnsi="Times New Roman" w:eastAsia="Times New Roman" w:cs="Times New Roman"/>
          <w:color w:val="auto"/>
          <w:spacing w:val="-2"/>
          <w:highlight w:val="none"/>
        </w:rPr>
        <w:t>m</w:t>
      </w:r>
      <w:r>
        <w:rPr>
          <w:rFonts w:hint="default" w:ascii="Times New Roman" w:hAnsi="Times New Roman" w:eastAsia="Times New Roman" w:cs="Times New Roman"/>
          <w:color w:val="auto"/>
          <w:w w:val="99"/>
          <w:position w:val="9"/>
          <w:sz w:val="16"/>
          <w:highlight w:val="none"/>
        </w:rPr>
        <w:t>2</w:t>
      </w:r>
      <w:r>
        <w:rPr>
          <w:rFonts w:hint="default" w:ascii="Times New Roman" w:hAnsi="Times New Roman" w:cs="Times New Roman"/>
          <w:color w:val="auto"/>
          <w:spacing w:val="-9"/>
          <w:highlight w:val="none"/>
        </w:rPr>
        <w:t>，各项水土保持工程措施和植物绿化措施等治理达标面积为</w:t>
      </w:r>
      <w:r>
        <w:rPr>
          <w:rFonts w:hint="default" w:ascii="Times New Roman" w:hAnsi="Times New Roman" w:cs="Times New Roman"/>
          <w:color w:val="auto"/>
          <w:spacing w:val="-9"/>
          <w:highlight w:val="none"/>
          <w:lang w:val="en-US" w:eastAsia="zh-CN"/>
        </w:rPr>
        <w:t>571</w:t>
      </w:r>
      <w:r>
        <w:rPr>
          <w:rFonts w:hint="default" w:ascii="Times New Roman" w:hAnsi="Times New Roman" w:eastAsia="Times New Roman" w:cs="Times New Roman"/>
          <w:color w:val="auto"/>
          <w:spacing w:val="-7"/>
          <w:highlight w:val="none"/>
        </w:rPr>
        <w:t>hm</w:t>
      </w:r>
      <w:r>
        <w:rPr>
          <w:rFonts w:hint="default" w:ascii="Times New Roman" w:hAnsi="Times New Roman" w:eastAsia="Times New Roman" w:cs="Times New Roman"/>
          <w:color w:val="auto"/>
          <w:spacing w:val="-7"/>
          <w:position w:val="9"/>
          <w:sz w:val="16"/>
          <w:highlight w:val="none"/>
        </w:rPr>
        <w:t>2</w:t>
      </w:r>
      <w:r>
        <w:rPr>
          <w:rFonts w:hint="default" w:ascii="Times New Roman" w:hAnsi="Times New Roman" w:cs="Times New Roman"/>
          <w:color w:val="auto"/>
          <w:spacing w:val="-6"/>
          <w:highlight w:val="none"/>
        </w:rPr>
        <w:t xml:space="preserve">，由此计算项目区水土流失综合总治理度为 </w:t>
      </w:r>
      <w:r>
        <w:rPr>
          <w:rFonts w:hint="default" w:ascii="Times New Roman" w:hAnsi="Times New Roman" w:eastAsia="Times New Roman" w:cs="Times New Roman"/>
          <w:color w:val="auto"/>
          <w:spacing w:val="-7"/>
          <w:highlight w:val="none"/>
        </w:rPr>
        <w:t>9</w:t>
      </w:r>
      <w:r>
        <w:rPr>
          <w:rFonts w:hint="default" w:ascii="Times New Roman" w:hAnsi="Times New Roman" w:eastAsia="宋体" w:cs="Times New Roman"/>
          <w:color w:val="auto"/>
          <w:spacing w:val="-7"/>
          <w:highlight w:val="none"/>
          <w:lang w:val="en-US" w:eastAsia="zh-CN"/>
        </w:rPr>
        <w:t>9.65</w:t>
      </w:r>
      <w:r>
        <w:rPr>
          <w:rFonts w:hint="default" w:ascii="Times New Roman" w:hAnsi="Times New Roman" w:eastAsia="Times New Roman" w:cs="Times New Roman"/>
          <w:color w:val="auto"/>
          <w:spacing w:val="-7"/>
          <w:highlight w:val="none"/>
        </w:rPr>
        <w:t>%</w:t>
      </w:r>
      <w:r>
        <w:rPr>
          <w:rFonts w:hint="default" w:ascii="Times New Roman" w:hAnsi="Times New Roman" w:cs="Times New Roman"/>
          <w:color w:val="auto"/>
          <w:spacing w:val="-4"/>
          <w:highlight w:val="none"/>
        </w:rPr>
        <w:t>，达到方案防治标准的要求。各防治分区水土流失治理情况详见表</w:t>
      </w:r>
      <w:r>
        <w:rPr>
          <w:rFonts w:hint="default" w:ascii="Times New Roman" w:hAnsi="Times New Roman" w:cs="Times New Roman"/>
          <w:color w:val="auto"/>
          <w:spacing w:val="-4"/>
          <w:highlight w:val="none"/>
          <w:lang w:eastAsia="zh-CN"/>
        </w:rPr>
        <w:t>。</w:t>
      </w:r>
    </w:p>
    <w:p>
      <w:pPr>
        <w:pStyle w:val="8"/>
        <w:tabs>
          <w:tab w:val="left" w:pos="2518"/>
          <w:tab w:val="left" w:pos="6238"/>
        </w:tabs>
        <w:spacing w:before="159"/>
        <w:ind w:left="1678"/>
        <w:rPr>
          <w:rFonts w:hint="default" w:ascii="Times New Roman" w:hAnsi="Times New Roman" w:eastAsia="Times New Roman" w:cs="Times New Roman"/>
          <w:color w:val="auto"/>
          <w:sz w:val="16"/>
          <w:highlight w:val="none"/>
        </w:rPr>
      </w:pPr>
      <w:r>
        <w:rPr>
          <w:rFonts w:hint="default" w:ascii="Times New Roman" w:hAnsi="Times New Roman" w:cs="Times New Roman"/>
          <w:color w:val="auto"/>
          <w:highlight w:val="none"/>
        </w:rPr>
        <w:t>各防治分区水土流失治理情况表</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t>单位：</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bl>
      <w:tblPr>
        <w:tblStyle w:val="19"/>
        <w:tblW w:w="944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760"/>
        <w:gridCol w:w="960"/>
        <w:gridCol w:w="960"/>
        <w:gridCol w:w="960"/>
        <w:gridCol w:w="960"/>
        <w:gridCol w:w="960"/>
        <w:gridCol w:w="960"/>
        <w:gridCol w:w="960"/>
        <w:gridCol w:w="960"/>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760" w:type="dxa"/>
            <w:vMerge w:val="restart"/>
          </w:tcPr>
          <w:p>
            <w:pPr>
              <w:pStyle w:val="24"/>
              <w:jc w:val="left"/>
              <w:rPr>
                <w:rFonts w:hint="default" w:ascii="Times New Roman" w:hAnsi="Times New Roman" w:cs="Times New Roman"/>
                <w:color w:val="auto"/>
                <w:sz w:val="20"/>
                <w:highlight w:val="none"/>
              </w:rPr>
            </w:pPr>
          </w:p>
          <w:p>
            <w:pPr>
              <w:pStyle w:val="24"/>
              <w:spacing w:before="179"/>
              <w:ind w:left="333" w:right="325"/>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分区</w:t>
            </w:r>
          </w:p>
        </w:tc>
        <w:tc>
          <w:tcPr>
            <w:tcW w:w="960" w:type="dxa"/>
            <w:vMerge w:val="restart"/>
          </w:tcPr>
          <w:p>
            <w:pPr>
              <w:pStyle w:val="24"/>
              <w:spacing w:before="7"/>
              <w:jc w:val="left"/>
              <w:rPr>
                <w:rFonts w:hint="default" w:ascii="Times New Roman" w:hAnsi="Times New Roman" w:cs="Times New Roman"/>
                <w:color w:val="auto"/>
                <w:sz w:val="23"/>
                <w:highlight w:val="none"/>
              </w:rPr>
            </w:pPr>
          </w:p>
          <w:p>
            <w:pPr>
              <w:pStyle w:val="24"/>
              <w:spacing w:line="242" w:lineRule="auto"/>
              <w:ind w:left="163" w:right="154"/>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项目建设面积</w:t>
            </w:r>
          </w:p>
        </w:tc>
        <w:tc>
          <w:tcPr>
            <w:tcW w:w="960" w:type="dxa"/>
            <w:vMerge w:val="restart"/>
          </w:tcPr>
          <w:p>
            <w:pPr>
              <w:pStyle w:val="24"/>
              <w:spacing w:before="7"/>
              <w:jc w:val="left"/>
              <w:rPr>
                <w:rFonts w:hint="default" w:ascii="Times New Roman" w:hAnsi="Times New Roman" w:cs="Times New Roman"/>
                <w:color w:val="auto"/>
                <w:sz w:val="23"/>
                <w:highlight w:val="none"/>
              </w:rPr>
            </w:pPr>
          </w:p>
          <w:p>
            <w:pPr>
              <w:pStyle w:val="24"/>
              <w:spacing w:line="242" w:lineRule="auto"/>
              <w:ind w:left="373" w:right="154" w:hanging="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扰动面积</w:t>
            </w:r>
          </w:p>
        </w:tc>
        <w:tc>
          <w:tcPr>
            <w:tcW w:w="960" w:type="dxa"/>
            <w:tcBorders>
              <w:bottom w:val="nil"/>
            </w:tcBorders>
          </w:tcPr>
          <w:p>
            <w:pPr>
              <w:pStyle w:val="24"/>
              <w:spacing w:line="268" w:lineRule="exact"/>
              <w:ind w:left="132" w:right="12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建筑物</w:t>
            </w:r>
          </w:p>
        </w:tc>
        <w:tc>
          <w:tcPr>
            <w:tcW w:w="960" w:type="dxa"/>
            <w:vMerge w:val="restart"/>
          </w:tcPr>
          <w:p>
            <w:pPr>
              <w:pStyle w:val="24"/>
              <w:spacing w:before="7"/>
              <w:jc w:val="left"/>
              <w:rPr>
                <w:rFonts w:hint="default" w:ascii="Times New Roman" w:hAnsi="Times New Roman" w:cs="Times New Roman"/>
                <w:color w:val="auto"/>
                <w:sz w:val="23"/>
                <w:highlight w:val="none"/>
              </w:rPr>
            </w:pPr>
          </w:p>
          <w:p>
            <w:pPr>
              <w:pStyle w:val="24"/>
              <w:spacing w:line="242" w:lineRule="auto"/>
              <w:ind w:left="163" w:right="154"/>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水土流失面积</w:t>
            </w:r>
          </w:p>
        </w:tc>
        <w:tc>
          <w:tcPr>
            <w:tcW w:w="2880" w:type="dxa"/>
            <w:gridSpan w:val="3"/>
          </w:tcPr>
          <w:p>
            <w:pPr>
              <w:pStyle w:val="24"/>
              <w:spacing w:before="8" w:line="259" w:lineRule="exact"/>
              <w:ind w:left="598"/>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水土流失治理面积</w:t>
            </w:r>
          </w:p>
        </w:tc>
        <w:tc>
          <w:tcPr>
            <w:tcW w:w="960" w:type="dxa"/>
            <w:vMerge w:val="restart"/>
          </w:tcPr>
          <w:p>
            <w:pPr>
              <w:pStyle w:val="24"/>
              <w:spacing w:before="136" w:line="242" w:lineRule="auto"/>
              <w:ind w:left="163" w:right="154"/>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水土流失总治理度%</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91" w:hRule="atLeast"/>
          <w:jc w:val="center"/>
        </w:trPr>
        <w:tc>
          <w:tcPr>
            <w:tcW w:w="1760" w:type="dxa"/>
            <w:vMerge w:val="continue"/>
            <w:tcBorders>
              <w:top w:val="nil"/>
            </w:tcBorders>
          </w:tcPr>
          <w:p>
            <w:pPr>
              <w:rPr>
                <w:rFonts w:hint="default" w:ascii="Times New Roman" w:hAnsi="Times New Roman" w:cs="Times New Roman"/>
                <w:color w:val="auto"/>
                <w:sz w:val="2"/>
                <w:szCs w:val="2"/>
                <w:highlight w:val="none"/>
              </w:rPr>
            </w:pPr>
          </w:p>
        </w:tc>
        <w:tc>
          <w:tcPr>
            <w:tcW w:w="960" w:type="dxa"/>
            <w:vMerge w:val="continue"/>
            <w:tcBorders>
              <w:top w:val="nil"/>
            </w:tcBorders>
          </w:tcPr>
          <w:p>
            <w:pPr>
              <w:rPr>
                <w:rFonts w:hint="default" w:ascii="Times New Roman" w:hAnsi="Times New Roman" w:cs="Times New Roman"/>
                <w:color w:val="auto"/>
                <w:sz w:val="2"/>
                <w:szCs w:val="2"/>
                <w:highlight w:val="none"/>
              </w:rPr>
            </w:pPr>
          </w:p>
        </w:tc>
        <w:tc>
          <w:tcPr>
            <w:tcW w:w="960" w:type="dxa"/>
            <w:vMerge w:val="continue"/>
            <w:tcBorders>
              <w:top w:val="nil"/>
            </w:tcBorders>
          </w:tcPr>
          <w:p>
            <w:pPr>
              <w:rPr>
                <w:rFonts w:hint="default" w:ascii="Times New Roman" w:hAnsi="Times New Roman" w:cs="Times New Roman"/>
                <w:color w:val="auto"/>
                <w:sz w:val="2"/>
                <w:szCs w:val="2"/>
                <w:highlight w:val="none"/>
              </w:rPr>
            </w:pPr>
          </w:p>
        </w:tc>
        <w:tc>
          <w:tcPr>
            <w:tcW w:w="960" w:type="dxa"/>
            <w:tcBorders>
              <w:top w:val="nil"/>
            </w:tcBorders>
          </w:tcPr>
          <w:p>
            <w:pPr>
              <w:pStyle w:val="24"/>
              <w:spacing w:line="244" w:lineRule="exact"/>
              <w:ind w:left="163"/>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及场地</w:t>
            </w:r>
          </w:p>
          <w:p>
            <w:pPr>
              <w:pStyle w:val="24"/>
              <w:spacing w:before="2" w:line="270" w:lineRule="atLeast"/>
              <w:ind w:left="163" w:right="154"/>
              <w:jc w:val="left"/>
              <w:rPr>
                <w:rFonts w:hint="default" w:ascii="Times New Roman" w:hAnsi="Times New Roman" w:cs="Times New Roman"/>
                <w:color w:val="auto"/>
                <w:sz w:val="21"/>
                <w:highlight w:val="none"/>
              </w:rPr>
            </w:pPr>
            <w:r>
              <w:rPr>
                <w:rFonts w:hint="default" w:ascii="Times New Roman" w:hAnsi="Times New Roman" w:cs="Times New Roman"/>
                <w:color w:val="auto"/>
                <w:spacing w:val="-6"/>
                <w:sz w:val="21"/>
                <w:highlight w:val="none"/>
              </w:rPr>
              <w:t>道路硬化面积</w:t>
            </w:r>
          </w:p>
        </w:tc>
        <w:tc>
          <w:tcPr>
            <w:tcW w:w="960" w:type="dxa"/>
            <w:vMerge w:val="continue"/>
            <w:tcBorders>
              <w:top w:val="nil"/>
            </w:tcBorders>
          </w:tcPr>
          <w:p>
            <w:pPr>
              <w:rPr>
                <w:rFonts w:hint="default" w:ascii="Times New Roman" w:hAnsi="Times New Roman" w:cs="Times New Roman"/>
                <w:color w:val="auto"/>
                <w:sz w:val="2"/>
                <w:szCs w:val="2"/>
                <w:highlight w:val="none"/>
              </w:rPr>
            </w:pPr>
          </w:p>
        </w:tc>
        <w:tc>
          <w:tcPr>
            <w:tcW w:w="960" w:type="dxa"/>
          </w:tcPr>
          <w:p>
            <w:pPr>
              <w:pStyle w:val="24"/>
              <w:spacing w:before="123" w:line="242" w:lineRule="auto"/>
              <w:ind w:left="107" w:right="98"/>
              <w:jc w:val="center"/>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工程措施</w:t>
            </w:r>
          </w:p>
        </w:tc>
        <w:tc>
          <w:tcPr>
            <w:tcW w:w="960" w:type="dxa"/>
          </w:tcPr>
          <w:p>
            <w:pPr>
              <w:pStyle w:val="24"/>
              <w:spacing w:before="123" w:line="242" w:lineRule="auto"/>
              <w:ind w:left="373" w:right="154" w:hanging="210"/>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植物措施</w:t>
            </w:r>
          </w:p>
        </w:tc>
        <w:tc>
          <w:tcPr>
            <w:tcW w:w="960" w:type="dxa"/>
          </w:tcPr>
          <w:p>
            <w:pPr>
              <w:pStyle w:val="24"/>
              <w:spacing w:before="7"/>
              <w:jc w:val="left"/>
              <w:rPr>
                <w:rFonts w:hint="default" w:ascii="Times New Roman" w:hAnsi="Times New Roman" w:cs="Times New Roman"/>
                <w:color w:val="auto"/>
                <w:sz w:val="22"/>
                <w:highlight w:val="none"/>
              </w:rPr>
            </w:pPr>
          </w:p>
          <w:p>
            <w:pPr>
              <w:pStyle w:val="24"/>
              <w:ind w:left="269"/>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小计</w:t>
            </w:r>
          </w:p>
        </w:tc>
        <w:tc>
          <w:tcPr>
            <w:tcW w:w="960" w:type="dxa"/>
            <w:vMerge w:val="continue"/>
            <w:tcBorders>
              <w:top w:val="nil"/>
            </w:tcBorders>
          </w:tcPr>
          <w:p>
            <w:pPr>
              <w:rPr>
                <w:rFonts w:hint="default" w:ascii="Times New Roman" w:hAnsi="Times New Roman" w:cs="Times New Roman"/>
                <w:color w:val="auto"/>
                <w:sz w:val="2"/>
                <w:szCs w:val="2"/>
                <w:highlight w:val="none"/>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主体工程区</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3.80</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3.80</w:t>
            </w:r>
          </w:p>
        </w:tc>
        <w:tc>
          <w:tcPr>
            <w:tcW w:w="960" w:type="dxa"/>
            <w:vAlign w:val="center"/>
          </w:tcPr>
          <w:p>
            <w:pPr>
              <w:pStyle w:val="24"/>
              <w:spacing w:line="240" w:lineRule="exact"/>
              <w:ind w:left="328"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2.66</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1.14</w:t>
            </w:r>
          </w:p>
        </w:tc>
        <w:tc>
          <w:tcPr>
            <w:tcW w:w="960" w:type="dxa"/>
            <w:vAlign w:val="center"/>
          </w:tcPr>
          <w:p>
            <w:pPr>
              <w:pStyle w:val="24"/>
              <w:spacing w:line="240" w:lineRule="exact"/>
              <w:ind w:right="299"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0.12</w:t>
            </w:r>
          </w:p>
        </w:tc>
        <w:tc>
          <w:tcPr>
            <w:tcW w:w="960" w:type="dxa"/>
            <w:vAlign w:val="center"/>
          </w:tcPr>
          <w:p>
            <w:pPr>
              <w:pStyle w:val="24"/>
              <w:spacing w:line="240"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rPr>
              <w:t>1.</w:t>
            </w:r>
            <w:r>
              <w:rPr>
                <w:rFonts w:hint="default" w:ascii="Times New Roman" w:hAnsi="Times New Roman" w:cs="Times New Roman"/>
                <w:color w:val="auto"/>
                <w:sz w:val="21"/>
                <w:highlight w:val="none"/>
                <w:lang w:val="en-US" w:eastAsia="zh-CN"/>
              </w:rPr>
              <w:t>12</w:t>
            </w:r>
          </w:p>
        </w:tc>
        <w:tc>
          <w:tcPr>
            <w:tcW w:w="960" w:type="dxa"/>
          </w:tcPr>
          <w:p>
            <w:pPr>
              <w:pStyle w:val="24"/>
              <w:spacing w:before="22"/>
              <w:ind w:left="135" w:right="12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9</w:t>
            </w:r>
            <w:r>
              <w:rPr>
                <w:rFonts w:hint="default" w:ascii="Times New Roman" w:hAnsi="Times New Roman" w:cs="Times New Roman"/>
                <w:color w:val="auto"/>
                <w:sz w:val="21"/>
                <w:highlight w:val="none"/>
                <w:lang w:val="en-US" w:eastAsia="zh-CN"/>
              </w:rPr>
              <w:t>8.24</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附属设施区</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1.41</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1.41</w:t>
            </w:r>
          </w:p>
        </w:tc>
        <w:tc>
          <w:tcPr>
            <w:tcW w:w="960" w:type="dxa"/>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1.41</w:t>
            </w:r>
          </w:p>
        </w:tc>
        <w:tc>
          <w:tcPr>
            <w:tcW w:w="960" w:type="dxa"/>
            <w:vAlign w:val="center"/>
          </w:tcPr>
          <w:p>
            <w:pPr>
              <w:pStyle w:val="24"/>
              <w:ind w:firstLine="200" w:firstLineChars="100"/>
              <w:jc w:val="both"/>
              <w:rPr>
                <w:rFonts w:hint="default" w:ascii="Times New Roman" w:hAnsi="Times New Roman" w:eastAsia="仿宋" w:cs="Times New Roman"/>
                <w:color w:val="auto"/>
                <w:kern w:val="2"/>
                <w:sz w:val="20"/>
                <w:szCs w:val="24"/>
                <w:highlight w:val="none"/>
                <w:lang w:val="en-US" w:eastAsia="zh-CN" w:bidi="zh-CN"/>
              </w:rPr>
            </w:pPr>
            <w:r>
              <w:rPr>
                <w:rFonts w:hint="default" w:ascii="Times New Roman" w:hAnsi="Times New Roman" w:cs="Times New Roman"/>
                <w:color w:val="auto"/>
                <w:sz w:val="20"/>
                <w:highlight w:val="none"/>
                <w:lang w:val="en-US" w:eastAsia="zh-CN"/>
              </w:rPr>
              <w:t>0.00</w:t>
            </w:r>
          </w:p>
        </w:tc>
        <w:tc>
          <w:tcPr>
            <w:tcW w:w="960" w:type="dxa"/>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1.41</w:t>
            </w:r>
          </w:p>
        </w:tc>
        <w:tc>
          <w:tcPr>
            <w:tcW w:w="960" w:type="dxa"/>
          </w:tcPr>
          <w:p>
            <w:pPr>
              <w:pStyle w:val="24"/>
              <w:spacing w:before="22"/>
              <w:ind w:left="298"/>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1.41</w:t>
            </w:r>
          </w:p>
        </w:tc>
        <w:tc>
          <w:tcPr>
            <w:tcW w:w="960" w:type="dxa"/>
          </w:tcPr>
          <w:p>
            <w:pPr>
              <w:pStyle w:val="24"/>
              <w:spacing w:before="22"/>
              <w:ind w:left="135" w:right="12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弃渣回填区</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960" w:type="dxa"/>
            <w:vAlign w:val="center"/>
          </w:tcPr>
          <w:p>
            <w:pPr>
              <w:pStyle w:val="24"/>
              <w:spacing w:line="240"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rPr>
              <w:t>0</w:t>
            </w:r>
            <w:r>
              <w:rPr>
                <w:rFonts w:hint="default" w:ascii="Times New Roman" w:hAnsi="Times New Roman" w:cs="Times New Roman"/>
                <w:color w:val="auto"/>
                <w:sz w:val="21"/>
                <w:highlight w:val="none"/>
                <w:lang w:val="en-US" w:eastAsia="zh-CN"/>
              </w:rPr>
              <w:t>.84</w:t>
            </w:r>
          </w:p>
        </w:tc>
        <w:tc>
          <w:tcPr>
            <w:tcW w:w="960" w:type="dxa"/>
            <w:vAlign w:val="center"/>
          </w:tcPr>
          <w:p>
            <w:pPr>
              <w:pStyle w:val="24"/>
              <w:ind w:firstLine="200" w:firstLineChars="100"/>
              <w:jc w:val="both"/>
              <w:rPr>
                <w:rFonts w:hint="default" w:ascii="Times New Roman" w:hAnsi="Times New Roman" w:eastAsia="仿宋" w:cs="Times New Roman"/>
                <w:color w:val="auto"/>
                <w:kern w:val="2"/>
                <w:sz w:val="20"/>
                <w:szCs w:val="24"/>
                <w:highlight w:val="none"/>
                <w:lang w:val="en-US" w:eastAsia="zh-CN" w:bidi="zh-CN"/>
              </w:rPr>
            </w:pPr>
            <w:r>
              <w:rPr>
                <w:rFonts w:hint="default" w:ascii="Times New Roman" w:hAnsi="Times New Roman" w:cs="Times New Roman"/>
                <w:color w:val="auto"/>
                <w:sz w:val="20"/>
                <w:highlight w:val="none"/>
                <w:lang w:val="en-US" w:eastAsia="zh-CN"/>
              </w:rPr>
              <w:t>0.00</w:t>
            </w:r>
          </w:p>
        </w:tc>
        <w:tc>
          <w:tcPr>
            <w:tcW w:w="960" w:type="dxa"/>
            <w:vAlign w:val="center"/>
          </w:tcPr>
          <w:p>
            <w:pPr>
              <w:pStyle w:val="24"/>
              <w:spacing w:line="240"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0.84</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rPr>
              <w:t>0.</w:t>
            </w:r>
            <w:r>
              <w:rPr>
                <w:rFonts w:hint="default" w:ascii="Times New Roman" w:hAnsi="Times New Roman" w:cs="Times New Roman"/>
                <w:color w:val="auto"/>
                <w:sz w:val="21"/>
                <w:highlight w:val="none"/>
                <w:lang w:val="en-US" w:eastAsia="zh-CN"/>
              </w:rPr>
              <w:t>84</w:t>
            </w:r>
          </w:p>
        </w:tc>
        <w:tc>
          <w:tcPr>
            <w:tcW w:w="960" w:type="dxa"/>
          </w:tcPr>
          <w:p>
            <w:pPr>
              <w:pStyle w:val="24"/>
              <w:spacing w:before="22"/>
              <w:ind w:left="135" w:right="12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取土场区</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2.00</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2.00</w:t>
            </w:r>
          </w:p>
        </w:tc>
        <w:tc>
          <w:tcPr>
            <w:tcW w:w="960" w:type="dxa"/>
            <w:vAlign w:val="center"/>
          </w:tcPr>
          <w:p>
            <w:pPr>
              <w:pStyle w:val="24"/>
              <w:spacing w:line="240"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2.00</w:t>
            </w:r>
          </w:p>
        </w:tc>
        <w:tc>
          <w:tcPr>
            <w:tcW w:w="960" w:type="dxa"/>
            <w:vAlign w:val="center"/>
          </w:tcPr>
          <w:p>
            <w:pPr>
              <w:pStyle w:val="24"/>
              <w:spacing w:line="240" w:lineRule="exact"/>
              <w:ind w:right="299"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960" w:type="dxa"/>
            <w:vAlign w:val="center"/>
          </w:tcPr>
          <w:p>
            <w:pPr>
              <w:pStyle w:val="24"/>
              <w:spacing w:line="240"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2.00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2.00</w:t>
            </w:r>
          </w:p>
        </w:tc>
        <w:tc>
          <w:tcPr>
            <w:tcW w:w="960" w:type="dxa"/>
          </w:tcPr>
          <w:p>
            <w:pPr>
              <w:pStyle w:val="24"/>
              <w:spacing w:before="22"/>
              <w:ind w:left="135" w:right="12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17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施工便道区</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960"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960" w:type="dxa"/>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0.05</w:t>
            </w:r>
          </w:p>
        </w:tc>
        <w:tc>
          <w:tcPr>
            <w:tcW w:w="960" w:type="dxa"/>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960" w:type="dxa"/>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0.05</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0.05</w:t>
            </w:r>
          </w:p>
        </w:tc>
        <w:tc>
          <w:tcPr>
            <w:tcW w:w="960" w:type="dxa"/>
          </w:tcPr>
          <w:p>
            <w:pPr>
              <w:pStyle w:val="24"/>
              <w:spacing w:before="22"/>
              <w:ind w:left="135" w:right="12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施工生产生活区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c>
          <w:tcPr>
            <w:tcW w:w="0" w:type="auto"/>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960" w:type="dxa"/>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0.20</w:t>
            </w:r>
          </w:p>
        </w:tc>
        <w:tc>
          <w:tcPr>
            <w:tcW w:w="960" w:type="dxa"/>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0" w:type="auto"/>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0.20</w:t>
            </w:r>
          </w:p>
        </w:tc>
        <w:tc>
          <w:tcPr>
            <w:tcW w:w="0" w:type="auto"/>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0.20</w:t>
            </w:r>
          </w:p>
        </w:tc>
        <w:tc>
          <w:tcPr>
            <w:tcW w:w="0" w:type="auto"/>
          </w:tcPr>
          <w:p>
            <w:pPr>
              <w:pStyle w:val="24"/>
              <w:spacing w:before="22"/>
              <w:ind w:left="135" w:right="126"/>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临时堆放区</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0.21</w:t>
            </w:r>
          </w:p>
        </w:tc>
        <w:tc>
          <w:tcPr>
            <w:tcW w:w="0" w:type="auto"/>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0.00</w:t>
            </w:r>
          </w:p>
        </w:tc>
        <w:tc>
          <w:tcPr>
            <w:tcW w:w="960" w:type="dxa"/>
          </w:tcPr>
          <w:p>
            <w:pPr>
              <w:pStyle w:val="24"/>
              <w:spacing w:before="22"/>
              <w:ind w:left="294"/>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0.21</w:t>
            </w:r>
          </w:p>
        </w:tc>
        <w:tc>
          <w:tcPr>
            <w:tcW w:w="960" w:type="dxa"/>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0.00</w:t>
            </w:r>
          </w:p>
        </w:tc>
        <w:tc>
          <w:tcPr>
            <w:tcW w:w="0" w:type="auto"/>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0.21</w:t>
            </w:r>
          </w:p>
        </w:tc>
        <w:tc>
          <w:tcPr>
            <w:tcW w:w="0" w:type="auto"/>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0.21</w:t>
            </w:r>
          </w:p>
        </w:tc>
        <w:tc>
          <w:tcPr>
            <w:tcW w:w="0" w:type="auto"/>
          </w:tcPr>
          <w:p>
            <w:pPr>
              <w:pStyle w:val="24"/>
              <w:spacing w:before="22"/>
              <w:ind w:left="135" w:right="126"/>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100%</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0" w:type="auto"/>
            <w:vAlign w:val="center"/>
          </w:tcPr>
          <w:p>
            <w:pPr>
              <w:pStyle w:val="24"/>
              <w:spacing w:before="8" w:line="261" w:lineRule="exact"/>
              <w:ind w:left="375" w:leftChars="0" w:right="367"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总计</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8.51</w:t>
            </w:r>
          </w:p>
        </w:tc>
        <w:tc>
          <w:tcPr>
            <w:tcW w:w="0" w:type="auto"/>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8.51</w:t>
            </w:r>
          </w:p>
        </w:tc>
        <w:tc>
          <w:tcPr>
            <w:tcW w:w="0" w:type="auto"/>
            <w:vAlign w:val="center"/>
          </w:tcPr>
          <w:p>
            <w:pPr>
              <w:pStyle w:val="24"/>
              <w:spacing w:line="241" w:lineRule="exact"/>
              <w:ind w:left="328" w:leftChars="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2.66</w:t>
            </w:r>
          </w:p>
        </w:tc>
        <w:tc>
          <w:tcPr>
            <w:tcW w:w="960" w:type="dxa"/>
          </w:tcPr>
          <w:p>
            <w:pPr>
              <w:pStyle w:val="24"/>
              <w:spacing w:before="22"/>
              <w:ind w:left="294"/>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5.85</w:t>
            </w:r>
          </w:p>
        </w:tc>
        <w:tc>
          <w:tcPr>
            <w:tcW w:w="960" w:type="dxa"/>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0.12</w:t>
            </w:r>
          </w:p>
        </w:tc>
        <w:tc>
          <w:tcPr>
            <w:tcW w:w="0" w:type="auto"/>
            <w:vAlign w:val="center"/>
          </w:tcPr>
          <w:p>
            <w:pPr>
              <w:pStyle w:val="24"/>
              <w:spacing w:line="241" w:lineRule="exact"/>
              <w:ind w:right="298" w:rightChars="0" w:firstLine="210" w:firstLineChars="100"/>
              <w:jc w:val="both"/>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kern w:val="2"/>
                <w:sz w:val="21"/>
                <w:szCs w:val="24"/>
                <w:highlight w:val="none"/>
                <w:lang w:val="en-US" w:eastAsia="zh-CN" w:bidi="zh-CN"/>
              </w:rPr>
              <w:t>5.71</w:t>
            </w:r>
          </w:p>
        </w:tc>
        <w:tc>
          <w:tcPr>
            <w:tcW w:w="0" w:type="auto"/>
          </w:tcPr>
          <w:p>
            <w:pPr>
              <w:pStyle w:val="24"/>
              <w:spacing w:before="22"/>
              <w:ind w:left="294"/>
              <w:jc w:val="left"/>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5.83</w:t>
            </w:r>
          </w:p>
        </w:tc>
        <w:tc>
          <w:tcPr>
            <w:tcW w:w="0" w:type="auto"/>
          </w:tcPr>
          <w:p>
            <w:pPr>
              <w:pStyle w:val="24"/>
              <w:spacing w:before="22"/>
              <w:ind w:left="135" w:right="126"/>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99.65%</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5.2.3 拦渣率与弃渣利用情况</w:t>
      </w:r>
    </w:p>
    <w:p>
      <w:pPr>
        <w:pStyle w:val="8"/>
        <w:keepNext w:val="0"/>
        <w:keepLines w:val="0"/>
        <w:pageBreakBefore w:val="0"/>
        <w:widowControl w:val="0"/>
        <w:kinsoku/>
        <w:wordWrap/>
        <w:overflowPunct/>
        <w:topLinePunct w:val="0"/>
        <w:autoSpaceDE/>
        <w:autoSpaceDN/>
        <w:bidi w:val="0"/>
        <w:adjustRightInd/>
        <w:snapToGrid/>
        <w:spacing w:before="200" w:line="360" w:lineRule="auto"/>
        <w:ind w:right="772"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拦渣率指项目防治责任范围内采取措施实际挡护的永久弃渣、临时堆土数量占永久弃渣和临时堆土总量的百分比。</w:t>
      </w:r>
    </w:p>
    <w:p>
      <w:pPr>
        <w:pStyle w:val="8"/>
        <w:keepNext w:val="0"/>
        <w:keepLines w:val="0"/>
        <w:pageBreakBefore w:val="0"/>
        <w:widowControl w:val="0"/>
        <w:kinsoku/>
        <w:wordWrap/>
        <w:overflowPunct/>
        <w:topLinePunct w:val="0"/>
        <w:autoSpaceDE/>
        <w:autoSpaceDN/>
        <w:bidi w:val="0"/>
        <w:adjustRightInd/>
        <w:snapToGrid/>
        <w:spacing w:line="360" w:lineRule="auto"/>
        <w:ind w:right="833" w:firstLine="444" w:firstLineChars="200"/>
        <w:jc w:val="both"/>
        <w:textAlignment w:val="auto"/>
        <w:rPr>
          <w:rFonts w:hint="default" w:ascii="Times New Roman" w:hAnsi="Times New Roman" w:cs="Times New Roman"/>
          <w:color w:val="auto"/>
          <w:highlight w:val="none"/>
        </w:rPr>
      </w:pPr>
      <w:r>
        <w:rPr>
          <w:rFonts w:hint="default" w:ascii="Times New Roman" w:hAnsi="Times New Roman" w:cs="Times New Roman"/>
          <w:color w:val="auto"/>
          <w:spacing w:val="-9"/>
          <w:highlight w:val="none"/>
        </w:rPr>
        <w:t>项目建设过程中，</w:t>
      </w:r>
      <w:r>
        <w:rPr>
          <w:rFonts w:hint="default" w:ascii="Times New Roman" w:hAnsi="Times New Roman" w:cs="Times New Roman"/>
          <w:color w:val="auto"/>
          <w:spacing w:val="-9"/>
          <w:highlight w:val="none"/>
          <w:lang w:val="en-US" w:eastAsia="zh-CN"/>
        </w:rPr>
        <w:t>总挖方</w:t>
      </w:r>
      <w:r>
        <w:rPr>
          <w:rFonts w:hint="default" w:ascii="Times New Roman" w:hAnsi="Times New Roman" w:cs="Times New Roman"/>
          <w:color w:val="auto"/>
          <w:spacing w:val="-9"/>
          <w:highlight w:val="none"/>
        </w:rPr>
        <w:t xml:space="preserve">弃方 </w:t>
      </w:r>
      <w:r>
        <w:rPr>
          <w:rFonts w:hint="default" w:ascii="Times New Roman" w:hAnsi="Times New Roman" w:cs="Times New Roman"/>
          <w:color w:val="auto"/>
          <w:spacing w:val="-9"/>
          <w:highlight w:val="none"/>
          <w:lang w:val="en-US" w:eastAsia="zh-CN"/>
        </w:rPr>
        <w:t>4.28</w:t>
      </w:r>
      <w:r>
        <w:rPr>
          <w:rFonts w:hint="default" w:ascii="Times New Roman" w:hAnsi="Times New Roman" w:cs="Times New Roman"/>
          <w:color w:val="auto"/>
          <w:spacing w:val="-30"/>
          <w:highlight w:val="none"/>
        </w:rPr>
        <w:t xml:space="preserve">万 </w:t>
      </w:r>
      <w:r>
        <w:rPr>
          <w:rFonts w:hint="default" w:ascii="Times New Roman" w:hAnsi="Times New Roman" w:eastAsia="Times New Roman" w:cs="Times New Roman"/>
          <w:color w:val="auto"/>
          <w:spacing w:val="-14"/>
          <w:highlight w:val="none"/>
        </w:rPr>
        <w:t>m</w:t>
      </w:r>
      <w:r>
        <w:rPr>
          <w:rFonts w:hint="default" w:ascii="Times New Roman" w:hAnsi="Times New Roman" w:eastAsia="Times New Roman" w:cs="Times New Roman"/>
          <w:color w:val="auto"/>
          <w:spacing w:val="-14"/>
          <w:position w:val="9"/>
          <w:sz w:val="16"/>
          <w:highlight w:val="none"/>
        </w:rPr>
        <w:t>3</w:t>
      </w:r>
      <w:r>
        <w:rPr>
          <w:rFonts w:hint="default" w:ascii="Times New Roman" w:hAnsi="Times New Roman" w:cs="Times New Roman"/>
          <w:color w:val="auto"/>
          <w:spacing w:val="-5"/>
          <w:highlight w:val="none"/>
        </w:rPr>
        <w:t>，由</w:t>
      </w:r>
      <w:r>
        <w:rPr>
          <w:rFonts w:hint="default" w:ascii="Times New Roman" w:hAnsi="Times New Roman" w:cs="Times New Roman"/>
          <w:color w:val="auto"/>
          <w:spacing w:val="-5"/>
          <w:highlight w:val="none"/>
          <w:lang w:val="en-US" w:eastAsia="zh-CN"/>
        </w:rPr>
        <w:t>衡阳市城市建设投资有限公司</w:t>
      </w:r>
      <w:r>
        <w:rPr>
          <w:rFonts w:hint="default" w:ascii="Times New Roman" w:hAnsi="Times New Roman" w:cs="Times New Roman"/>
          <w:color w:val="auto"/>
          <w:spacing w:val="-5"/>
          <w:highlight w:val="none"/>
        </w:rPr>
        <w:t>负责实施</w:t>
      </w:r>
      <w:r>
        <w:rPr>
          <w:rFonts w:hint="default" w:ascii="Times New Roman" w:hAnsi="Times New Roman" w:cs="Times New Roman"/>
          <w:color w:val="auto"/>
          <w:spacing w:val="-3"/>
          <w:highlight w:val="none"/>
        </w:rPr>
        <w:t>和统一调运；表土堆置量</w:t>
      </w:r>
      <w:r>
        <w:rPr>
          <w:rFonts w:hint="default" w:ascii="Times New Roman" w:hAnsi="Times New Roman" w:cs="Times New Roman"/>
          <w:color w:val="auto"/>
          <w:spacing w:val="-3"/>
          <w:highlight w:val="none"/>
          <w:lang w:val="en-US" w:eastAsia="zh-CN"/>
        </w:rPr>
        <w:t>0.74</w:t>
      </w:r>
      <w:r>
        <w:rPr>
          <w:rFonts w:hint="default" w:ascii="Times New Roman" w:hAnsi="Times New Roman" w:cs="Times New Roman"/>
          <w:color w:val="auto"/>
          <w:spacing w:val="-23"/>
          <w:highlight w:val="none"/>
        </w:rPr>
        <w:t xml:space="preserve">万 </w:t>
      </w:r>
      <w:r>
        <w:rPr>
          <w:rFonts w:hint="default" w:ascii="Times New Roman" w:hAnsi="Times New Roman" w:eastAsia="Times New Roman" w:cs="Times New Roman"/>
          <w:color w:val="auto"/>
          <w:highlight w:val="none"/>
        </w:rPr>
        <w:t>m</w:t>
      </w:r>
      <w:r>
        <w:rPr>
          <w:rFonts w:hint="default" w:ascii="Times New Roman" w:hAnsi="Times New Roman" w:eastAsia="Times New Roman" w:cs="Times New Roman"/>
          <w:color w:val="auto"/>
          <w:position w:val="9"/>
          <w:sz w:val="16"/>
          <w:highlight w:val="none"/>
        </w:rPr>
        <w:t>3</w:t>
      </w:r>
      <w:r>
        <w:rPr>
          <w:rFonts w:hint="default" w:ascii="Times New Roman" w:hAnsi="Times New Roman" w:cs="Times New Roman"/>
          <w:color w:val="auto"/>
          <w:spacing w:val="-2"/>
          <w:highlight w:val="none"/>
        </w:rPr>
        <w:t>，后期用于绿化</w:t>
      </w:r>
      <w:r>
        <w:rPr>
          <w:rFonts w:hint="default" w:ascii="Times New Roman" w:hAnsi="Times New Roman" w:cs="Times New Roman"/>
          <w:color w:val="auto"/>
          <w:spacing w:val="-2"/>
          <w:highlight w:val="none"/>
          <w:lang w:val="en-US" w:eastAsia="zh-CN"/>
        </w:rPr>
        <w:t>回填</w:t>
      </w:r>
      <w:r>
        <w:rPr>
          <w:rFonts w:hint="default" w:ascii="Times New Roman" w:hAnsi="Times New Roman" w:cs="Times New Roman"/>
          <w:color w:val="auto"/>
          <w:spacing w:val="-2"/>
          <w:highlight w:val="none"/>
        </w:rPr>
        <w:t xml:space="preserve">恢复， </w:t>
      </w:r>
      <w:r>
        <w:rPr>
          <w:rFonts w:hint="default" w:ascii="Times New Roman" w:hAnsi="Times New Roman" w:cs="Times New Roman"/>
          <w:color w:val="auto"/>
          <w:spacing w:val="-8"/>
          <w:highlight w:val="none"/>
        </w:rPr>
        <w:t xml:space="preserve">堆置过程中，采用了袋装土拦挡和覆盖。综上，弃渣和临时堆土数量 </w:t>
      </w:r>
      <w:r>
        <w:rPr>
          <w:rFonts w:hint="default" w:ascii="Times New Roman" w:hAnsi="Times New Roman" w:cs="Times New Roman"/>
          <w:color w:val="auto"/>
          <w:spacing w:val="-8"/>
          <w:highlight w:val="none"/>
          <w:lang w:val="en-US" w:eastAsia="zh-CN"/>
        </w:rPr>
        <w:t>5.02</w:t>
      </w:r>
      <w:r>
        <w:rPr>
          <w:rFonts w:hint="default" w:ascii="Times New Roman" w:hAnsi="Times New Roman" w:eastAsia="Times New Roman" w:cs="Times New Roman"/>
          <w:color w:val="auto"/>
          <w:highlight w:val="none"/>
        </w:rPr>
        <w:t xml:space="preserve"> </w:t>
      </w:r>
      <w:r>
        <w:rPr>
          <w:rFonts w:hint="default" w:ascii="Times New Roman" w:hAnsi="Times New Roman" w:cs="Times New Roman"/>
          <w:color w:val="auto"/>
          <w:spacing w:val="-30"/>
          <w:highlight w:val="none"/>
        </w:rPr>
        <w:t xml:space="preserve">万 </w:t>
      </w:r>
      <w:r>
        <w:rPr>
          <w:rFonts w:hint="default" w:ascii="Times New Roman" w:hAnsi="Times New Roman" w:eastAsia="Times New Roman" w:cs="Times New Roman"/>
          <w:color w:val="auto"/>
          <w:spacing w:val="-8"/>
          <w:highlight w:val="none"/>
        </w:rPr>
        <w:t>m</w:t>
      </w:r>
      <w:r>
        <w:rPr>
          <w:rFonts w:hint="default" w:ascii="Times New Roman" w:hAnsi="Times New Roman" w:eastAsia="Times New Roman" w:cs="Times New Roman"/>
          <w:color w:val="auto"/>
          <w:spacing w:val="-8"/>
          <w:position w:val="9"/>
          <w:sz w:val="16"/>
          <w:highlight w:val="none"/>
        </w:rPr>
        <w:t>3</w:t>
      </w:r>
      <w:r>
        <w:rPr>
          <w:rFonts w:hint="default" w:ascii="Times New Roman" w:hAnsi="Times New Roman" w:cs="Times New Roman"/>
          <w:color w:val="auto"/>
          <w:spacing w:val="-7"/>
          <w:highlight w:val="none"/>
        </w:rPr>
        <w:t>，实际</w:t>
      </w:r>
      <w:r>
        <w:rPr>
          <w:rFonts w:hint="default" w:ascii="Times New Roman" w:hAnsi="Times New Roman" w:cs="Times New Roman"/>
          <w:color w:val="auto"/>
          <w:spacing w:val="-13"/>
          <w:highlight w:val="none"/>
        </w:rPr>
        <w:t xml:space="preserve">挡护数量 </w:t>
      </w:r>
      <w:r>
        <w:rPr>
          <w:rFonts w:hint="default" w:ascii="Times New Roman" w:hAnsi="Times New Roman" w:eastAsia="Times New Roman" w:cs="Times New Roman"/>
          <w:color w:val="auto"/>
          <w:highlight w:val="none"/>
        </w:rPr>
        <w:t xml:space="preserve"> </w:t>
      </w:r>
      <w:r>
        <w:rPr>
          <w:rFonts w:hint="default" w:ascii="Times New Roman" w:hAnsi="Times New Roman" w:cs="Times New Roman"/>
          <w:color w:val="auto"/>
          <w:spacing w:val="-30"/>
          <w:highlight w:val="none"/>
        </w:rPr>
        <w:t xml:space="preserve">万 </w:t>
      </w:r>
      <w:r>
        <w:rPr>
          <w:rFonts w:hint="default" w:ascii="Times New Roman" w:hAnsi="Times New Roman" w:eastAsia="Times New Roman" w:cs="Times New Roman"/>
          <w:color w:val="auto"/>
          <w:highlight w:val="none"/>
        </w:rPr>
        <w:t>m</w:t>
      </w:r>
      <w:r>
        <w:rPr>
          <w:rFonts w:hint="default" w:ascii="Times New Roman" w:hAnsi="Times New Roman" w:eastAsia="Times New Roman" w:cs="Times New Roman"/>
          <w:color w:val="auto"/>
          <w:position w:val="9"/>
          <w:sz w:val="16"/>
          <w:highlight w:val="none"/>
        </w:rPr>
        <w:t>3</w:t>
      </w:r>
      <w:r>
        <w:rPr>
          <w:rFonts w:hint="default" w:ascii="Times New Roman" w:hAnsi="Times New Roman" w:cs="Times New Roman"/>
          <w:color w:val="auto"/>
          <w:spacing w:val="-10"/>
          <w:highlight w:val="none"/>
        </w:rPr>
        <w:t xml:space="preserve">，拦渣率为 </w:t>
      </w:r>
      <w:r>
        <w:rPr>
          <w:rFonts w:hint="default" w:ascii="Times New Roman" w:hAnsi="Times New Roman" w:eastAsia="Times New Roman" w:cs="Times New Roman"/>
          <w:color w:val="auto"/>
          <w:highlight w:val="none"/>
        </w:rPr>
        <w:t>%</w:t>
      </w:r>
      <w:r>
        <w:rPr>
          <w:rFonts w:hint="default" w:ascii="Times New Roman" w:hAnsi="Times New Roman" w:cs="Times New Roman"/>
          <w:color w:val="auto"/>
          <w:highlight w:val="none"/>
        </w:rPr>
        <w:t>。</w:t>
      </w:r>
    </w:p>
    <w:p>
      <w:pPr>
        <w:pStyle w:val="8"/>
        <w:spacing w:before="123" w:after="26"/>
        <w:ind w:left="3473"/>
        <w:jc w:val="both"/>
        <w:rPr>
          <w:rFonts w:hint="default" w:ascii="Times New Roman" w:hAnsi="Times New Roman" w:cs="Times New Roman"/>
          <w:color w:val="auto"/>
          <w:highlight w:val="none"/>
        </w:rPr>
      </w:pPr>
      <w:r>
        <w:rPr>
          <w:rFonts w:hint="default" w:ascii="Times New Roman" w:hAnsi="Times New Roman" w:cs="Times New Roman"/>
          <w:color w:val="auto"/>
          <w:highlight w:val="none"/>
        </w:rPr>
        <w:t>拦渣率情况表</w:t>
      </w:r>
    </w:p>
    <w:tbl>
      <w:tblPr>
        <w:tblStyle w:val="19"/>
        <w:tblW w:w="9284" w:type="dxa"/>
        <w:jc w:val="center"/>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1603"/>
        <w:gridCol w:w="3327"/>
        <w:gridCol w:w="2728"/>
        <w:gridCol w:w="1626"/>
      </w:tblGrid>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635" w:hRule="atLeast"/>
          <w:jc w:val="center"/>
        </w:trPr>
        <w:tc>
          <w:tcPr>
            <w:tcW w:w="1603" w:type="dxa"/>
          </w:tcPr>
          <w:p>
            <w:pPr>
              <w:pStyle w:val="24"/>
              <w:spacing w:before="2"/>
              <w:jc w:val="left"/>
              <w:rPr>
                <w:rFonts w:hint="default" w:ascii="Times New Roman" w:hAnsi="Times New Roman" w:cs="Times New Roman"/>
                <w:color w:val="auto"/>
                <w:sz w:val="14"/>
                <w:highlight w:val="none"/>
              </w:rPr>
            </w:pPr>
          </w:p>
          <w:p>
            <w:pPr>
              <w:pStyle w:val="24"/>
              <w:ind w:left="361" w:right="342"/>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项目</w:t>
            </w:r>
          </w:p>
        </w:tc>
        <w:tc>
          <w:tcPr>
            <w:tcW w:w="3327" w:type="dxa"/>
          </w:tcPr>
          <w:p>
            <w:pPr>
              <w:pStyle w:val="24"/>
              <w:spacing w:before="181"/>
              <w:ind w:left="287" w:right="272"/>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永久弃渣</w:t>
            </w:r>
            <w:r>
              <w:rPr>
                <w:rFonts w:hint="default" w:ascii="Times New Roman" w:hAnsi="Times New Roman" w:eastAsia="Times New Roman" w:cs="Times New Roman"/>
                <w:color w:val="auto"/>
                <w:sz w:val="21"/>
                <w:highlight w:val="none"/>
              </w:rPr>
              <w:t>/</w:t>
            </w:r>
            <w:r>
              <w:rPr>
                <w:rFonts w:hint="default" w:ascii="Times New Roman" w:hAnsi="Times New Roman" w:cs="Times New Roman"/>
                <w:color w:val="auto"/>
                <w:sz w:val="21"/>
                <w:highlight w:val="none"/>
              </w:rPr>
              <w:t xml:space="preserve">临时堆土（万 </w:t>
            </w:r>
            <w:r>
              <w:rPr>
                <w:rFonts w:hint="default" w:ascii="Times New Roman" w:hAnsi="Times New Roman" w:eastAsia="Times New Roman" w:cs="Times New Roman"/>
                <w:color w:val="auto"/>
                <w:sz w:val="21"/>
                <w:highlight w:val="none"/>
              </w:rPr>
              <w:t>m</w:t>
            </w:r>
            <w:r>
              <w:rPr>
                <w:rFonts w:hint="default" w:ascii="Times New Roman" w:hAnsi="Times New Roman" w:eastAsia="Times New Roman" w:cs="Times New Roman"/>
                <w:color w:val="auto"/>
                <w:position w:val="8"/>
                <w:sz w:val="14"/>
                <w:highlight w:val="none"/>
              </w:rPr>
              <w:t>3</w:t>
            </w:r>
            <w:r>
              <w:rPr>
                <w:rFonts w:hint="default" w:ascii="Times New Roman" w:hAnsi="Times New Roman" w:cs="Times New Roman"/>
                <w:color w:val="auto"/>
                <w:sz w:val="21"/>
                <w:highlight w:val="none"/>
              </w:rPr>
              <w:t>）</w:t>
            </w:r>
          </w:p>
        </w:tc>
        <w:tc>
          <w:tcPr>
            <w:tcW w:w="2728" w:type="dxa"/>
          </w:tcPr>
          <w:p>
            <w:pPr>
              <w:pStyle w:val="24"/>
              <w:spacing w:before="45"/>
              <w:ind w:left="160" w:right="139"/>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挡护弃渣</w:t>
            </w:r>
            <w:r>
              <w:rPr>
                <w:rFonts w:hint="default" w:ascii="Times New Roman" w:hAnsi="Times New Roman" w:eastAsia="Times New Roman" w:cs="Times New Roman"/>
                <w:color w:val="auto"/>
                <w:sz w:val="21"/>
                <w:highlight w:val="none"/>
              </w:rPr>
              <w:t>/</w:t>
            </w:r>
            <w:r>
              <w:rPr>
                <w:rFonts w:hint="default" w:ascii="Times New Roman" w:hAnsi="Times New Roman" w:cs="Times New Roman"/>
                <w:color w:val="auto"/>
                <w:sz w:val="21"/>
                <w:highlight w:val="none"/>
              </w:rPr>
              <w:t>临时堆土量（万</w:t>
            </w:r>
          </w:p>
          <w:p>
            <w:pPr>
              <w:pStyle w:val="24"/>
              <w:spacing w:before="3"/>
              <w:ind w:left="158" w:right="139"/>
              <w:rPr>
                <w:rFonts w:hint="default" w:ascii="Times New Roman" w:hAnsi="Times New Roman" w:cs="Times New Roman"/>
                <w:color w:val="auto"/>
                <w:sz w:val="21"/>
                <w:highlight w:val="none"/>
              </w:rPr>
            </w:pPr>
            <w:r>
              <w:rPr>
                <w:rFonts w:hint="default" w:ascii="Times New Roman" w:hAnsi="Times New Roman" w:eastAsia="Times New Roman" w:cs="Times New Roman"/>
                <w:color w:val="auto"/>
                <w:sz w:val="21"/>
                <w:highlight w:val="none"/>
              </w:rPr>
              <w:t>m</w:t>
            </w:r>
            <w:r>
              <w:rPr>
                <w:rFonts w:hint="default" w:ascii="Times New Roman" w:hAnsi="Times New Roman" w:eastAsia="Times New Roman" w:cs="Times New Roman"/>
                <w:color w:val="auto"/>
                <w:position w:val="8"/>
                <w:sz w:val="14"/>
                <w:highlight w:val="none"/>
              </w:rPr>
              <w:t>3</w:t>
            </w:r>
            <w:r>
              <w:rPr>
                <w:rFonts w:hint="default" w:ascii="Times New Roman" w:hAnsi="Times New Roman" w:cs="Times New Roman"/>
                <w:color w:val="auto"/>
                <w:sz w:val="21"/>
                <w:highlight w:val="none"/>
              </w:rPr>
              <w:t>）</w:t>
            </w:r>
          </w:p>
        </w:tc>
        <w:tc>
          <w:tcPr>
            <w:tcW w:w="1626" w:type="dxa"/>
          </w:tcPr>
          <w:p>
            <w:pPr>
              <w:pStyle w:val="24"/>
              <w:spacing w:before="182"/>
              <w:ind w:left="392" w:right="369"/>
              <w:rPr>
                <w:rFonts w:hint="default" w:ascii="Times New Roman" w:hAnsi="Times New Roman" w:eastAsia="Times New Roman" w:cs="Times New Roman"/>
                <w:color w:val="auto"/>
                <w:sz w:val="21"/>
                <w:highlight w:val="none"/>
              </w:rPr>
            </w:pPr>
            <w:r>
              <w:rPr>
                <w:rFonts w:hint="default" w:ascii="Times New Roman" w:hAnsi="Times New Roman" w:cs="Times New Roman"/>
                <w:color w:val="auto"/>
                <w:sz w:val="21"/>
                <w:highlight w:val="none"/>
              </w:rPr>
              <w:t>拦渣率</w:t>
            </w:r>
            <w:r>
              <w:rPr>
                <w:rFonts w:hint="default" w:ascii="Times New Roman" w:hAnsi="Times New Roman" w:eastAsia="Times New Roman" w:cs="Times New Roman"/>
                <w:color w:val="auto"/>
                <w:sz w:val="21"/>
                <w:highlight w:val="none"/>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0" w:hRule="atLeast"/>
          <w:jc w:val="center"/>
        </w:trPr>
        <w:tc>
          <w:tcPr>
            <w:tcW w:w="1603" w:type="dxa"/>
          </w:tcPr>
          <w:p>
            <w:pPr>
              <w:pStyle w:val="24"/>
              <w:spacing w:before="15" w:line="265" w:lineRule="exact"/>
              <w:ind w:left="361" w:right="342"/>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弃渣</w:t>
            </w:r>
          </w:p>
        </w:tc>
        <w:tc>
          <w:tcPr>
            <w:tcW w:w="3327" w:type="dxa"/>
            <w:vAlign w:val="top"/>
          </w:tcPr>
          <w:p>
            <w:pPr>
              <w:pStyle w:val="24"/>
              <w:spacing w:before="28"/>
              <w:ind w:left="287" w:leftChars="0" w:right="270" w:rightChars="0"/>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4.28</w:t>
            </w:r>
          </w:p>
        </w:tc>
        <w:tc>
          <w:tcPr>
            <w:tcW w:w="2728" w:type="dxa"/>
            <w:vAlign w:val="top"/>
          </w:tcPr>
          <w:p>
            <w:pPr>
              <w:pStyle w:val="24"/>
              <w:spacing w:before="28"/>
              <w:ind w:left="160" w:leftChars="0" w:right="138" w:rightChars="0"/>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4.27</w:t>
            </w:r>
          </w:p>
        </w:tc>
        <w:tc>
          <w:tcPr>
            <w:tcW w:w="1626" w:type="dxa"/>
            <w:vAlign w:val="top"/>
          </w:tcPr>
          <w:p>
            <w:pPr>
              <w:pStyle w:val="24"/>
              <w:spacing w:before="28"/>
              <w:ind w:left="392" w:leftChars="0" w:right="367" w:rightChars="0"/>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rPr>
              <w:t>99.9%</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300" w:hRule="atLeast"/>
          <w:jc w:val="center"/>
        </w:trPr>
        <w:tc>
          <w:tcPr>
            <w:tcW w:w="1603" w:type="dxa"/>
          </w:tcPr>
          <w:p>
            <w:pPr>
              <w:pStyle w:val="24"/>
              <w:spacing w:before="14" w:line="266" w:lineRule="exact"/>
              <w:ind w:left="361" w:right="342"/>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表土堆放</w:t>
            </w:r>
          </w:p>
        </w:tc>
        <w:tc>
          <w:tcPr>
            <w:tcW w:w="3327" w:type="dxa"/>
            <w:vAlign w:val="top"/>
          </w:tcPr>
          <w:p>
            <w:pPr>
              <w:pStyle w:val="24"/>
              <w:spacing w:before="28"/>
              <w:ind w:left="287" w:leftChars="0" w:right="270" w:rightChars="0"/>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rPr>
              <w:t>0.</w:t>
            </w:r>
            <w:r>
              <w:rPr>
                <w:rFonts w:hint="default" w:ascii="Times New Roman" w:hAnsi="Times New Roman" w:cs="Times New Roman"/>
                <w:color w:val="auto"/>
                <w:sz w:val="21"/>
                <w:highlight w:val="none"/>
                <w:lang w:val="en-US" w:eastAsia="zh-CN"/>
              </w:rPr>
              <w:t>74</w:t>
            </w:r>
          </w:p>
        </w:tc>
        <w:tc>
          <w:tcPr>
            <w:tcW w:w="2728" w:type="dxa"/>
            <w:vAlign w:val="top"/>
          </w:tcPr>
          <w:p>
            <w:pPr>
              <w:pStyle w:val="24"/>
              <w:spacing w:before="28"/>
              <w:ind w:left="160" w:leftChars="0" w:right="139" w:rightChars="0"/>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rPr>
              <w:t>0.</w:t>
            </w:r>
            <w:r>
              <w:rPr>
                <w:rFonts w:hint="default" w:ascii="Times New Roman" w:hAnsi="Times New Roman" w:cs="Times New Roman"/>
                <w:color w:val="auto"/>
                <w:sz w:val="21"/>
                <w:highlight w:val="none"/>
                <w:lang w:val="en-US" w:eastAsia="zh-CN"/>
              </w:rPr>
              <w:t>74</w:t>
            </w:r>
          </w:p>
        </w:tc>
        <w:tc>
          <w:tcPr>
            <w:tcW w:w="1626" w:type="dxa"/>
            <w:vAlign w:val="top"/>
          </w:tcPr>
          <w:p>
            <w:pPr>
              <w:pStyle w:val="24"/>
              <w:spacing w:before="28"/>
              <w:ind w:left="392" w:leftChars="0" w:right="368" w:rightChars="0"/>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8" w:space="0"/>
            <w:left w:val="single" w:color="000000" w:sz="8" w:space="0"/>
            <w:bottom w:val="single" w:color="000000" w:sz="8" w:space="0"/>
            <w:right w:val="single" w:color="000000" w:sz="8" w:space="0"/>
            <w:insideH w:val="single" w:color="000000" w:sz="8" w:space="0"/>
            <w:insideV w:val="single" w:color="000000" w:sz="8" w:space="0"/>
          </w:tblBorders>
          <w:tblCellMar>
            <w:top w:w="0" w:type="dxa"/>
            <w:left w:w="0" w:type="dxa"/>
            <w:bottom w:w="0" w:type="dxa"/>
            <w:right w:w="0" w:type="dxa"/>
          </w:tblCellMar>
        </w:tblPrEx>
        <w:trPr>
          <w:trHeight w:val="299" w:hRule="atLeast"/>
          <w:jc w:val="center"/>
        </w:trPr>
        <w:tc>
          <w:tcPr>
            <w:tcW w:w="1603" w:type="dxa"/>
          </w:tcPr>
          <w:p>
            <w:pPr>
              <w:pStyle w:val="24"/>
              <w:spacing w:before="14" w:line="265" w:lineRule="exact"/>
              <w:ind w:left="361" w:right="342"/>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合计</w:t>
            </w:r>
          </w:p>
        </w:tc>
        <w:tc>
          <w:tcPr>
            <w:tcW w:w="3327" w:type="dxa"/>
            <w:vAlign w:val="top"/>
          </w:tcPr>
          <w:p>
            <w:pPr>
              <w:pStyle w:val="24"/>
              <w:spacing w:before="28"/>
              <w:ind w:left="287" w:leftChars="0" w:right="270" w:rightChars="0"/>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5.02</w:t>
            </w:r>
          </w:p>
        </w:tc>
        <w:tc>
          <w:tcPr>
            <w:tcW w:w="2728" w:type="dxa"/>
            <w:vAlign w:val="top"/>
          </w:tcPr>
          <w:p>
            <w:pPr>
              <w:pStyle w:val="24"/>
              <w:spacing w:before="28"/>
              <w:ind w:left="160" w:leftChars="0" w:right="138" w:rightChars="0"/>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5.01</w:t>
            </w:r>
          </w:p>
        </w:tc>
        <w:tc>
          <w:tcPr>
            <w:tcW w:w="1626" w:type="dxa"/>
            <w:vAlign w:val="top"/>
          </w:tcPr>
          <w:p>
            <w:pPr>
              <w:pStyle w:val="24"/>
              <w:spacing w:before="28"/>
              <w:ind w:left="392" w:leftChars="0" w:right="367" w:rightChars="0"/>
              <w:rPr>
                <w:rFonts w:hint="default" w:ascii="Times New Roman" w:hAnsi="Times New Roman" w:eastAsia="仿宋" w:cs="Times New Roman"/>
                <w:color w:val="auto"/>
                <w:kern w:val="2"/>
                <w:sz w:val="21"/>
                <w:szCs w:val="24"/>
                <w:highlight w:val="none"/>
                <w:lang w:val="zh-CN" w:eastAsia="zh-CN" w:bidi="zh-CN"/>
              </w:rPr>
            </w:pPr>
            <w:r>
              <w:rPr>
                <w:rFonts w:hint="default" w:ascii="Times New Roman" w:hAnsi="Times New Roman" w:cs="Times New Roman"/>
                <w:color w:val="auto"/>
                <w:sz w:val="21"/>
                <w:highlight w:val="none"/>
              </w:rPr>
              <w:t>9</w:t>
            </w:r>
            <w:r>
              <w:rPr>
                <w:rFonts w:hint="default" w:ascii="Times New Roman" w:hAnsi="Times New Roman" w:cs="Times New Roman"/>
                <w:color w:val="auto"/>
                <w:sz w:val="21"/>
                <w:highlight w:val="none"/>
                <w:lang w:val="en-US" w:eastAsia="zh-CN"/>
              </w:rPr>
              <w:t>9.8</w:t>
            </w:r>
            <w:r>
              <w:rPr>
                <w:rFonts w:hint="default" w:ascii="Times New Roman" w:hAnsi="Times New Roman" w:cs="Times New Roman"/>
                <w:color w:val="auto"/>
                <w:sz w:val="21"/>
                <w:highlight w:val="none"/>
              </w:rPr>
              <w:t>%</w:t>
            </w:r>
          </w:p>
        </w:tc>
      </w:tr>
    </w:tbl>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5.2.4 土壤流失控制比</w:t>
      </w:r>
    </w:p>
    <w:p>
      <w:pPr>
        <w:keepNext w:val="0"/>
        <w:keepLines w:val="0"/>
        <w:pageBreakBefore w:val="0"/>
        <w:widowControl w:val="0"/>
        <w:kinsoku/>
        <w:wordWrap/>
        <w:overflowPunct/>
        <w:topLinePunct w:val="0"/>
        <w:autoSpaceDE/>
        <w:autoSpaceDN/>
        <w:bidi w:val="0"/>
        <w:adjustRightInd/>
        <w:snapToGrid/>
        <w:spacing w:line="360" w:lineRule="auto"/>
        <w:ind w:left="0"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本工程所在区域属于南方红壤丘陵区，容许土壤流失量为 500t/km2 ·a 。根据本项目 水土保持监测总结报告，平均土壤流失量 500t/km2 ·a ，水土流失控制比为 1，水土流失 控制比满足水土保持有关规范要求。</w:t>
      </w: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5.2.5 林草植被恢复率</w:t>
      </w:r>
    </w:p>
    <w:p>
      <w:pPr>
        <w:keepNext w:val="0"/>
        <w:keepLines w:val="0"/>
        <w:pageBreakBefore w:val="0"/>
        <w:widowControl w:val="0"/>
        <w:kinsoku/>
        <w:wordWrap/>
        <w:overflowPunct/>
        <w:topLinePunct w:val="0"/>
        <w:autoSpaceDE/>
        <w:autoSpaceDN/>
        <w:bidi w:val="0"/>
        <w:adjustRightInd/>
        <w:snapToGrid/>
        <w:spacing w:line="360" w:lineRule="auto"/>
        <w:ind w:firstLine="456" w:firstLineChars="200"/>
        <w:textAlignment w:val="auto"/>
        <w:rPr>
          <w:rFonts w:hint="default" w:ascii="Times New Roman" w:hAnsi="Times New Roman" w:cs="Times New Roman"/>
          <w:color w:val="auto"/>
          <w:spacing w:val="-4"/>
          <w:highlight w:val="none"/>
          <w:lang w:eastAsia="zh-CN"/>
        </w:rPr>
      </w:pPr>
      <w:r>
        <w:rPr>
          <w:rFonts w:hint="default" w:ascii="Times New Roman" w:hAnsi="Times New Roman" w:cs="Times New Roman"/>
          <w:color w:val="auto"/>
          <w:spacing w:val="-6"/>
          <w:highlight w:val="none"/>
        </w:rPr>
        <w:t xml:space="preserve">本工程扰动土地面积为 </w:t>
      </w:r>
      <w:r>
        <w:rPr>
          <w:rFonts w:hint="default" w:ascii="Times New Roman" w:hAnsi="Times New Roman" w:cs="Times New Roman"/>
          <w:color w:val="auto"/>
          <w:spacing w:val="-6"/>
          <w:highlight w:val="none"/>
          <w:lang w:val="en-US" w:eastAsia="zh-CN"/>
        </w:rPr>
        <w:t>8.51</w:t>
      </w:r>
      <w:r>
        <w:rPr>
          <w:rFonts w:hint="default" w:ascii="Times New Roman" w:hAnsi="Times New Roman" w:eastAsia="Times New Roman" w:cs="Times New Roman"/>
          <w:color w:val="auto"/>
          <w:spacing w:val="-4"/>
          <w:highlight w:val="none"/>
        </w:rPr>
        <w:t>hm</w:t>
      </w:r>
      <w:r>
        <w:rPr>
          <w:rFonts w:hint="default" w:ascii="Times New Roman" w:hAnsi="Times New Roman" w:eastAsia="Times New Roman" w:cs="Times New Roman"/>
          <w:color w:val="auto"/>
          <w:spacing w:val="-4"/>
          <w:position w:val="9"/>
          <w:sz w:val="16"/>
          <w:highlight w:val="none"/>
        </w:rPr>
        <w:t>2</w:t>
      </w:r>
      <w:r>
        <w:rPr>
          <w:rFonts w:hint="default" w:ascii="Times New Roman" w:hAnsi="Times New Roman" w:cs="Times New Roman"/>
          <w:color w:val="auto"/>
          <w:spacing w:val="-8"/>
          <w:highlight w:val="none"/>
        </w:rPr>
        <w:t xml:space="preserve">，可恢复植被的面积为 </w:t>
      </w:r>
      <w:r>
        <w:rPr>
          <w:rFonts w:hint="default" w:ascii="Times New Roman" w:hAnsi="Times New Roman" w:cs="Times New Roman"/>
          <w:color w:val="auto"/>
          <w:spacing w:val="-8"/>
          <w:highlight w:val="none"/>
          <w:lang w:val="en-US" w:eastAsia="zh-CN"/>
        </w:rPr>
        <w:t>5.12</w:t>
      </w:r>
      <w:r>
        <w:rPr>
          <w:rFonts w:hint="default" w:ascii="Times New Roman" w:hAnsi="Times New Roman" w:eastAsia="Times New Roman" w:cs="Times New Roman"/>
          <w:color w:val="auto"/>
          <w:spacing w:val="-3"/>
          <w:highlight w:val="none"/>
        </w:rPr>
        <w:t>hm</w:t>
      </w:r>
      <w:r>
        <w:rPr>
          <w:rFonts w:hint="default" w:ascii="Times New Roman" w:hAnsi="Times New Roman" w:eastAsia="Times New Roman" w:cs="Times New Roman"/>
          <w:color w:val="auto"/>
          <w:spacing w:val="-3"/>
          <w:position w:val="9"/>
          <w:sz w:val="16"/>
          <w:highlight w:val="none"/>
        </w:rPr>
        <w:t>2</w:t>
      </w:r>
      <w:r>
        <w:rPr>
          <w:rFonts w:hint="default" w:ascii="Times New Roman" w:hAnsi="Times New Roman" w:cs="Times New Roman"/>
          <w:color w:val="auto"/>
          <w:spacing w:val="-4"/>
          <w:highlight w:val="none"/>
        </w:rPr>
        <w:t>，至水土保持监测期</w:t>
      </w:r>
      <w:r>
        <w:rPr>
          <w:rFonts w:hint="default" w:ascii="Times New Roman" w:hAnsi="Times New Roman" w:cs="Times New Roman"/>
          <w:color w:val="auto"/>
          <w:spacing w:val="-2"/>
          <w:highlight w:val="none"/>
        </w:rPr>
        <w:t xml:space="preserve">末，林草植被恢复面积为 </w:t>
      </w:r>
      <w:r>
        <w:rPr>
          <w:rFonts w:hint="default" w:ascii="Times New Roman" w:hAnsi="Times New Roman" w:cs="Times New Roman"/>
          <w:color w:val="auto"/>
          <w:spacing w:val="-2"/>
          <w:highlight w:val="none"/>
          <w:lang w:val="en-US" w:eastAsia="zh-CN"/>
        </w:rPr>
        <w:t>5.12</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r>
        <w:rPr>
          <w:rFonts w:hint="default" w:ascii="Times New Roman" w:hAnsi="Times New Roman" w:cs="Times New Roman"/>
          <w:color w:val="auto"/>
          <w:spacing w:val="-2"/>
          <w:highlight w:val="none"/>
        </w:rPr>
        <w:t xml:space="preserve">，林草植被恢复率为 </w:t>
      </w:r>
      <w:r>
        <w:rPr>
          <w:rFonts w:hint="default" w:ascii="Times New Roman" w:hAnsi="Times New Roman" w:eastAsia="Times New Roman" w:cs="Times New Roman"/>
          <w:color w:val="auto"/>
          <w:highlight w:val="none"/>
        </w:rPr>
        <w:t>99.25%</w:t>
      </w:r>
      <w:r>
        <w:rPr>
          <w:rFonts w:hint="default" w:ascii="Times New Roman" w:hAnsi="Times New Roman" w:cs="Times New Roman"/>
          <w:color w:val="auto"/>
          <w:spacing w:val="-2"/>
          <w:highlight w:val="none"/>
        </w:rPr>
        <w:t>，达到方案报告书确定</w:t>
      </w:r>
      <w:r>
        <w:rPr>
          <w:rFonts w:hint="default" w:ascii="Times New Roman" w:hAnsi="Times New Roman" w:cs="Times New Roman"/>
          <w:color w:val="auto"/>
          <w:spacing w:val="-4"/>
          <w:highlight w:val="none"/>
        </w:rPr>
        <w:t>的目标值。林草植被恢复率分析见表</w:t>
      </w:r>
      <w:r>
        <w:rPr>
          <w:rFonts w:hint="default" w:ascii="Times New Roman" w:hAnsi="Times New Roman" w:cs="Times New Roman"/>
          <w:color w:val="auto"/>
          <w:spacing w:val="-4"/>
          <w:highlight w:val="none"/>
          <w:lang w:val="en-US" w:eastAsia="zh-CN"/>
        </w:rPr>
        <w:t>5.2.5</w:t>
      </w:r>
      <w:r>
        <w:rPr>
          <w:rFonts w:hint="default" w:ascii="Times New Roman" w:hAnsi="Times New Roman" w:cs="Times New Roman"/>
          <w:color w:val="auto"/>
          <w:spacing w:val="-4"/>
          <w:highlight w:val="none"/>
        </w:rPr>
        <w:t xml:space="preserve"> </w:t>
      </w:r>
      <w:r>
        <w:rPr>
          <w:rFonts w:hint="default" w:ascii="Times New Roman" w:hAnsi="Times New Roman" w:cs="Times New Roman"/>
          <w:color w:val="auto"/>
          <w:spacing w:val="-4"/>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64" w:firstLineChars="200"/>
        <w:textAlignment w:val="auto"/>
        <w:rPr>
          <w:rFonts w:hint="default" w:ascii="Times New Roman" w:hAnsi="Times New Roman" w:cs="Times New Roman"/>
          <w:color w:val="auto"/>
          <w:spacing w:val="-4"/>
          <w:highlight w:val="none"/>
          <w:lang w:val="en-US" w:eastAsia="zh-CN"/>
        </w:rPr>
      </w:pPr>
    </w:p>
    <w:p>
      <w:pPr>
        <w:pStyle w:val="4"/>
        <w:bidi w:val="0"/>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t>5.2.6 林草覆盖率</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color w:val="auto"/>
          <w:highlight w:val="none"/>
        </w:rPr>
      </w:pPr>
      <w:r>
        <w:rPr>
          <w:rFonts w:hint="default"/>
          <w:color w:val="auto"/>
          <w:highlight w:val="none"/>
        </w:rPr>
        <w:t>本工程实际占用及扰动面积为</w:t>
      </w:r>
      <w:r>
        <w:rPr>
          <w:rFonts w:hint="default"/>
          <w:color w:val="auto"/>
          <w:highlight w:val="none"/>
          <w:lang w:val="en-US" w:eastAsia="zh-CN"/>
        </w:rPr>
        <w:t>8.51</w:t>
      </w:r>
      <w:r>
        <w:rPr>
          <w:rFonts w:hint="default"/>
          <w:color w:val="auto"/>
          <w:highlight w:val="none"/>
        </w:rPr>
        <w:t>hm2，植物措施面积为</w:t>
      </w:r>
      <w:r>
        <w:rPr>
          <w:rFonts w:hint="default"/>
          <w:color w:val="auto"/>
          <w:highlight w:val="none"/>
          <w:lang w:val="en-US" w:eastAsia="zh-CN"/>
        </w:rPr>
        <w:t>5.12</w:t>
      </w:r>
      <w:r>
        <w:rPr>
          <w:rFonts w:hint="default"/>
          <w:color w:val="auto"/>
          <w:highlight w:val="none"/>
        </w:rPr>
        <w:t>hm2，项目区可绿化面积（除路面、各类建筑物的地面硬化、各类工程措施覆盖地表面积）</w:t>
      </w:r>
      <w:r>
        <w:rPr>
          <w:rFonts w:hint="default"/>
          <w:color w:val="auto"/>
          <w:highlight w:val="none"/>
          <w:lang w:val="en-US" w:eastAsia="zh-CN"/>
        </w:rPr>
        <w:t>5.12</w:t>
      </w:r>
      <w:r>
        <w:rPr>
          <w:rFonts w:hint="default"/>
          <w:color w:val="auto"/>
          <w:highlight w:val="none"/>
        </w:rPr>
        <w:t xml:space="preserve">hm2，项目建设区综合林草覆盖率达到 </w:t>
      </w:r>
      <w:r>
        <w:rPr>
          <w:rFonts w:hint="default"/>
          <w:color w:val="auto"/>
          <w:highlight w:val="none"/>
          <w:lang w:val="en-US" w:eastAsia="zh-CN"/>
        </w:rPr>
        <w:t>60.31</w:t>
      </w:r>
      <w:r>
        <w:rPr>
          <w:rFonts w:hint="default"/>
          <w:color w:val="auto"/>
          <w:highlight w:val="none"/>
        </w:rPr>
        <w:t xml:space="preserve">%，林草恢复率达到 </w:t>
      </w:r>
      <w:r>
        <w:rPr>
          <w:rFonts w:hint="default"/>
          <w:color w:val="auto"/>
          <w:highlight w:val="none"/>
          <w:lang w:val="en-US" w:eastAsia="zh-CN"/>
        </w:rPr>
        <w:t>99.50</w:t>
      </w:r>
      <w:r>
        <w:rPr>
          <w:rFonts w:hint="default"/>
          <w:color w:val="auto"/>
          <w:highlight w:val="none"/>
        </w:rPr>
        <w:t>%。由上述分析可知，本项目林草植被恢复率及林草覆盖率基本达到了方案防治标准的要求。各分区林草覆盖率情况详见表 6.6。</w:t>
      </w:r>
    </w:p>
    <w:p>
      <w:pPr>
        <w:pStyle w:val="8"/>
        <w:tabs>
          <w:tab w:val="left" w:pos="6049"/>
        </w:tabs>
        <w:spacing w:before="82" w:after="2"/>
        <w:ind w:left="2390"/>
        <w:rPr>
          <w:rFonts w:hint="default" w:ascii="Times New Roman" w:hAnsi="Times New Roman" w:eastAsia="Times New Roman" w:cs="Times New Roman"/>
          <w:color w:val="auto"/>
          <w:sz w:val="16"/>
          <w:highlight w:val="none"/>
        </w:rPr>
      </w:pPr>
      <w:r>
        <w:rPr>
          <w:rFonts w:hint="default" w:ascii="Times New Roman" w:hAnsi="Times New Roman" w:cs="Times New Roman"/>
          <w:color w:val="auto"/>
          <w:highlight w:val="none"/>
        </w:rPr>
        <w:t>表</w:t>
      </w:r>
      <w:r>
        <w:rPr>
          <w:rFonts w:hint="default" w:ascii="Times New Roman" w:hAnsi="Times New Roman" w:cs="Times New Roman"/>
          <w:color w:val="auto"/>
          <w:highlight w:val="none"/>
          <w:lang w:val="en-US" w:eastAsia="zh-CN"/>
        </w:rPr>
        <w:t>5.2.5</w:t>
      </w:r>
      <w:r>
        <w:rPr>
          <w:rFonts w:hint="default" w:ascii="Times New Roman" w:hAnsi="Times New Roman" w:cs="Times New Roman"/>
          <w:color w:val="auto"/>
          <w:highlight w:val="none"/>
        </w:rPr>
        <w:t>各分区林草覆盖率情况表</w:t>
      </w:r>
      <w:r>
        <w:rPr>
          <w:rFonts w:hint="default" w:ascii="Times New Roman" w:hAnsi="Times New Roman" w:cs="Times New Roman"/>
          <w:color w:val="auto"/>
          <w:highlight w:val="none"/>
        </w:rPr>
        <w:tab/>
      </w:r>
      <w:r>
        <w:rPr>
          <w:rFonts w:hint="default" w:ascii="Times New Roman" w:hAnsi="Times New Roman" w:cs="Times New Roman"/>
          <w:color w:val="auto"/>
          <w:highlight w:val="none"/>
        </w:rPr>
        <w:t>单位：</w:t>
      </w:r>
      <w:r>
        <w:rPr>
          <w:rFonts w:hint="default" w:ascii="Times New Roman" w:hAnsi="Times New Roman" w:eastAsia="Times New Roman" w:cs="Times New Roman"/>
          <w:color w:val="auto"/>
          <w:highlight w:val="none"/>
        </w:rPr>
        <w:t>hm</w:t>
      </w:r>
      <w:r>
        <w:rPr>
          <w:rFonts w:hint="default" w:ascii="Times New Roman" w:hAnsi="Times New Roman" w:eastAsia="Times New Roman" w:cs="Times New Roman"/>
          <w:color w:val="auto"/>
          <w:position w:val="9"/>
          <w:sz w:val="16"/>
          <w:highlight w:val="none"/>
        </w:rPr>
        <w:t>2</w:t>
      </w:r>
    </w:p>
    <w:tbl>
      <w:tblPr>
        <w:tblStyle w:val="19"/>
        <w:tblW w:w="9290"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82"/>
        <w:gridCol w:w="1358"/>
        <w:gridCol w:w="1359"/>
        <w:gridCol w:w="1359"/>
        <w:gridCol w:w="1371"/>
        <w:gridCol w:w="13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jc w:val="center"/>
        </w:trPr>
        <w:tc>
          <w:tcPr>
            <w:tcW w:w="2482" w:type="dxa"/>
          </w:tcPr>
          <w:p>
            <w:pPr>
              <w:pStyle w:val="24"/>
              <w:spacing w:before="152"/>
              <w:ind w:left="695" w:right="686"/>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分区</w:t>
            </w:r>
          </w:p>
        </w:tc>
        <w:tc>
          <w:tcPr>
            <w:tcW w:w="1358" w:type="dxa"/>
          </w:tcPr>
          <w:p>
            <w:pPr>
              <w:pStyle w:val="24"/>
              <w:spacing w:before="14" w:line="270" w:lineRule="atLeast"/>
              <w:ind w:left="467" w:right="144" w:hanging="316"/>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项目建设区面积</w:t>
            </w:r>
          </w:p>
        </w:tc>
        <w:tc>
          <w:tcPr>
            <w:tcW w:w="1359" w:type="dxa"/>
          </w:tcPr>
          <w:p>
            <w:pPr>
              <w:pStyle w:val="24"/>
              <w:spacing w:before="14" w:line="270" w:lineRule="atLeast"/>
              <w:ind w:left="467" w:right="144" w:hanging="316"/>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可恢复植被面积</w:t>
            </w:r>
          </w:p>
        </w:tc>
        <w:tc>
          <w:tcPr>
            <w:tcW w:w="1359" w:type="dxa"/>
          </w:tcPr>
          <w:p>
            <w:pPr>
              <w:pStyle w:val="24"/>
              <w:spacing w:before="152"/>
              <w:ind w:left="340" w:right="339"/>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已恢复</w:t>
            </w:r>
          </w:p>
        </w:tc>
        <w:tc>
          <w:tcPr>
            <w:tcW w:w="1371" w:type="dxa"/>
          </w:tcPr>
          <w:p>
            <w:pPr>
              <w:pStyle w:val="24"/>
              <w:spacing w:before="14" w:line="270" w:lineRule="atLeast"/>
              <w:ind w:left="383" w:right="151" w:hanging="227"/>
              <w:jc w:val="left"/>
              <w:rPr>
                <w:rFonts w:hint="default" w:ascii="Times New Roman" w:hAnsi="Times New Roman" w:eastAsia="Times New Roman" w:cs="Times New Roman"/>
                <w:color w:val="auto"/>
                <w:sz w:val="21"/>
                <w:highlight w:val="none"/>
              </w:rPr>
            </w:pPr>
            <w:r>
              <w:rPr>
                <w:rFonts w:hint="default" w:ascii="Times New Roman" w:hAnsi="Times New Roman" w:cs="Times New Roman"/>
                <w:color w:val="auto"/>
                <w:sz w:val="21"/>
                <w:highlight w:val="none"/>
              </w:rPr>
              <w:t>林草植被恢复率</w:t>
            </w:r>
            <w:r>
              <w:rPr>
                <w:rFonts w:hint="default" w:ascii="Times New Roman" w:hAnsi="Times New Roman" w:eastAsia="Times New Roman" w:cs="Times New Roman"/>
                <w:color w:val="auto"/>
                <w:sz w:val="21"/>
                <w:highlight w:val="none"/>
              </w:rPr>
              <w:t>%</w:t>
            </w:r>
          </w:p>
        </w:tc>
        <w:tc>
          <w:tcPr>
            <w:tcW w:w="1361" w:type="dxa"/>
          </w:tcPr>
          <w:p>
            <w:pPr>
              <w:pStyle w:val="24"/>
              <w:spacing w:before="14" w:line="270" w:lineRule="atLeast"/>
              <w:ind w:left="484" w:right="251" w:hanging="227"/>
              <w:jc w:val="left"/>
              <w:rPr>
                <w:rFonts w:hint="default" w:ascii="Times New Roman" w:hAnsi="Times New Roman" w:eastAsia="Times New Roman" w:cs="Times New Roman"/>
                <w:color w:val="auto"/>
                <w:sz w:val="21"/>
                <w:highlight w:val="none"/>
              </w:rPr>
            </w:pPr>
            <w:r>
              <w:rPr>
                <w:rFonts w:hint="default" w:ascii="Times New Roman" w:hAnsi="Times New Roman" w:cs="Times New Roman"/>
                <w:color w:val="auto"/>
                <w:sz w:val="21"/>
                <w:highlight w:val="none"/>
              </w:rPr>
              <w:t>林草覆盖率</w:t>
            </w:r>
            <w:r>
              <w:rPr>
                <w:rFonts w:hint="default" w:ascii="Times New Roman" w:hAnsi="Times New Roman" w:eastAsia="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主体工程区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3.80</w:t>
            </w:r>
          </w:p>
        </w:tc>
        <w:tc>
          <w:tcPr>
            <w:tcW w:w="1359"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1.13</w:t>
            </w:r>
          </w:p>
        </w:tc>
        <w:tc>
          <w:tcPr>
            <w:tcW w:w="1359"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1.12</w:t>
            </w:r>
          </w:p>
        </w:tc>
        <w:tc>
          <w:tcPr>
            <w:tcW w:w="1371" w:type="dxa"/>
          </w:tcPr>
          <w:p>
            <w:pPr>
              <w:pStyle w:val="24"/>
              <w:spacing w:before="22"/>
              <w:ind w:left="357"/>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99.</w:t>
            </w:r>
            <w:r>
              <w:rPr>
                <w:rFonts w:hint="default" w:ascii="Times New Roman" w:hAnsi="Times New Roman" w:cs="Times New Roman"/>
                <w:color w:val="auto"/>
                <w:sz w:val="21"/>
                <w:highlight w:val="none"/>
                <w:lang w:val="en-US" w:eastAsia="zh-CN"/>
              </w:rPr>
              <w:t>11</w:t>
            </w:r>
            <w:r>
              <w:rPr>
                <w:rFonts w:hint="default" w:ascii="Times New Roman" w:hAnsi="Times New Roman" w:cs="Times New Roman"/>
                <w:color w:val="auto"/>
                <w:sz w:val="21"/>
                <w:highlight w:val="none"/>
              </w:rPr>
              <w:t>%</w:t>
            </w:r>
          </w:p>
        </w:tc>
        <w:tc>
          <w:tcPr>
            <w:tcW w:w="1361" w:type="dxa"/>
          </w:tcPr>
          <w:p>
            <w:pPr>
              <w:pStyle w:val="24"/>
              <w:spacing w:before="22"/>
              <w:ind w:right="346" w:firstLine="210" w:firstLineChars="10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2</w:t>
            </w:r>
            <w:r>
              <w:rPr>
                <w:rFonts w:hint="default" w:ascii="Times New Roman" w:hAnsi="Times New Roman" w:cs="Times New Roman"/>
                <w:color w:val="auto"/>
                <w:sz w:val="21"/>
                <w:highlight w:val="none"/>
                <w:lang w:val="en-US" w:eastAsia="zh-CN"/>
              </w:rPr>
              <w:t>9.47</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附属设施区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1.41</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1.34</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1.34</w:t>
            </w:r>
          </w:p>
        </w:tc>
        <w:tc>
          <w:tcPr>
            <w:tcW w:w="1371" w:type="dxa"/>
            <w:vAlign w:val="center"/>
          </w:tcPr>
          <w:p>
            <w:pPr>
              <w:pStyle w:val="24"/>
              <w:spacing w:before="22"/>
              <w:ind w:left="357"/>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100.00%</w:t>
            </w:r>
          </w:p>
        </w:tc>
        <w:tc>
          <w:tcPr>
            <w:tcW w:w="1361" w:type="dxa"/>
          </w:tcPr>
          <w:p>
            <w:pPr>
              <w:pStyle w:val="24"/>
              <w:spacing w:before="22"/>
              <w:ind w:right="346" w:firstLine="210" w:firstLineChars="100"/>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95.04%</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弃渣回填区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0.84</w:t>
            </w:r>
          </w:p>
        </w:tc>
        <w:tc>
          <w:tcPr>
            <w:tcW w:w="1359"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0.81</w:t>
            </w:r>
          </w:p>
        </w:tc>
        <w:tc>
          <w:tcPr>
            <w:tcW w:w="1359"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0.81</w:t>
            </w:r>
          </w:p>
        </w:tc>
        <w:tc>
          <w:tcPr>
            <w:tcW w:w="1371" w:type="dxa"/>
            <w:vAlign w:val="center"/>
          </w:tcPr>
          <w:p>
            <w:pPr>
              <w:pStyle w:val="24"/>
              <w:spacing w:before="22"/>
              <w:ind w:left="357"/>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100.00%</w:t>
            </w:r>
          </w:p>
        </w:tc>
        <w:tc>
          <w:tcPr>
            <w:tcW w:w="1361" w:type="dxa"/>
          </w:tcPr>
          <w:p>
            <w:pPr>
              <w:pStyle w:val="24"/>
              <w:spacing w:before="22"/>
              <w:ind w:right="346" w:firstLine="210" w:firstLineChars="100"/>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96.42%</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取土场区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2.00</w:t>
            </w:r>
          </w:p>
        </w:tc>
        <w:tc>
          <w:tcPr>
            <w:tcW w:w="1359"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1.93</w:t>
            </w:r>
          </w:p>
        </w:tc>
        <w:tc>
          <w:tcPr>
            <w:tcW w:w="1359" w:type="dxa"/>
            <w:vAlign w:val="center"/>
          </w:tcPr>
          <w:p>
            <w:pPr>
              <w:pStyle w:val="24"/>
              <w:spacing w:line="240"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1.93</w:t>
            </w:r>
          </w:p>
        </w:tc>
        <w:tc>
          <w:tcPr>
            <w:tcW w:w="1371" w:type="dxa"/>
            <w:vAlign w:val="center"/>
          </w:tcPr>
          <w:p>
            <w:pPr>
              <w:pStyle w:val="24"/>
              <w:spacing w:before="22"/>
              <w:ind w:left="357"/>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100.00%</w:t>
            </w:r>
          </w:p>
        </w:tc>
        <w:tc>
          <w:tcPr>
            <w:tcW w:w="1361" w:type="dxa"/>
          </w:tcPr>
          <w:p>
            <w:pPr>
              <w:pStyle w:val="24"/>
              <w:spacing w:before="22"/>
              <w:ind w:right="346" w:firstLine="210" w:firstLineChars="100"/>
              <w:jc w:val="both"/>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highlight w:val="none"/>
                <w:lang w:val="en-US" w:eastAsia="zh-CN"/>
              </w:rPr>
              <w:t>96.5%</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施工便道区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0.05</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0.05</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0.05</w:t>
            </w:r>
          </w:p>
        </w:tc>
        <w:tc>
          <w:tcPr>
            <w:tcW w:w="1371" w:type="dxa"/>
          </w:tcPr>
          <w:p>
            <w:pPr>
              <w:pStyle w:val="24"/>
              <w:spacing w:before="21"/>
              <w:ind w:left="305"/>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100.00%</w:t>
            </w:r>
          </w:p>
        </w:tc>
        <w:tc>
          <w:tcPr>
            <w:tcW w:w="1361" w:type="dxa"/>
          </w:tcPr>
          <w:p>
            <w:pPr>
              <w:pStyle w:val="24"/>
              <w:spacing w:before="21"/>
              <w:ind w:right="346" w:firstLine="210" w:firstLineChars="10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施工生产生活区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0.20</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0.20</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0.20</w:t>
            </w:r>
          </w:p>
        </w:tc>
        <w:tc>
          <w:tcPr>
            <w:tcW w:w="1371" w:type="dxa"/>
          </w:tcPr>
          <w:p>
            <w:pPr>
              <w:pStyle w:val="24"/>
              <w:spacing w:before="22"/>
              <w:ind w:left="306"/>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100.00%</w:t>
            </w:r>
          </w:p>
        </w:tc>
        <w:tc>
          <w:tcPr>
            <w:tcW w:w="1361" w:type="dxa"/>
          </w:tcPr>
          <w:p>
            <w:pPr>
              <w:pStyle w:val="24"/>
              <w:spacing w:before="22"/>
              <w:ind w:right="346" w:firstLine="210" w:firstLineChars="10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w:t>
            </w:r>
            <w:r>
              <w:rPr>
                <w:rFonts w:hint="default" w:ascii="Times New Roman" w:hAnsi="Times New Roman" w:cs="Times New Roman"/>
                <w:color w:val="auto"/>
                <w:sz w:val="21"/>
                <w:highlight w:val="none"/>
                <w:lang w:val="en-US" w:eastAsia="zh-CN"/>
              </w:rPr>
              <w:t>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8" w:hRule="atLeast"/>
          <w:jc w:val="center"/>
        </w:trPr>
        <w:tc>
          <w:tcPr>
            <w:tcW w:w="2482"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kern w:val="2"/>
                <w:sz w:val="21"/>
                <w:szCs w:val="21"/>
                <w:highlight w:val="none"/>
                <w:vertAlign w:val="baseline"/>
                <w:lang w:val="en-US" w:eastAsia="zh-CN" w:bidi="ar-SA"/>
              </w:rPr>
            </w:pPr>
            <w:r>
              <w:rPr>
                <w:rFonts w:hint="default" w:ascii="Times New Roman" w:hAnsi="Times New Roman" w:cs="Times New Roman"/>
                <w:color w:val="auto"/>
                <w:sz w:val="21"/>
                <w:szCs w:val="21"/>
                <w:highlight w:val="none"/>
                <w:vertAlign w:val="baseline"/>
                <w:lang w:val="en-US" w:eastAsia="zh-CN"/>
              </w:rPr>
              <w:t>临时堆放区</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eastAsia="仿宋" w:cs="Times New Roman"/>
                <w:color w:val="auto"/>
                <w:sz w:val="21"/>
                <w:highlight w:val="none"/>
                <w:lang w:val="en-US" w:eastAsia="zh-CN"/>
              </w:rPr>
            </w:pPr>
            <w:r>
              <w:rPr>
                <w:rFonts w:hint="default" w:ascii="Times New Roman" w:hAnsi="Times New Roman" w:cs="Times New Roman"/>
                <w:color w:val="auto"/>
                <w:sz w:val="21"/>
                <w:szCs w:val="21"/>
                <w:highlight w:val="none"/>
                <w:vertAlign w:val="baseline"/>
                <w:lang w:val="en-US" w:eastAsia="zh-CN"/>
              </w:rPr>
              <w:t>0.21</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0.21</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0.21</w:t>
            </w:r>
          </w:p>
        </w:tc>
        <w:tc>
          <w:tcPr>
            <w:tcW w:w="1371" w:type="dxa"/>
          </w:tcPr>
          <w:p>
            <w:pPr>
              <w:pStyle w:val="24"/>
              <w:spacing w:before="22"/>
              <w:ind w:left="306"/>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100.00%</w:t>
            </w:r>
          </w:p>
        </w:tc>
        <w:tc>
          <w:tcPr>
            <w:tcW w:w="1361" w:type="dxa"/>
          </w:tcPr>
          <w:p>
            <w:pPr>
              <w:pStyle w:val="24"/>
              <w:spacing w:before="22"/>
              <w:ind w:right="346" w:firstLine="210" w:firstLineChars="10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100</w:t>
            </w:r>
            <w:r>
              <w:rPr>
                <w:rFonts w:hint="default" w:ascii="Times New Roman" w:hAnsi="Times New Roman" w:cs="Times New Roman"/>
                <w:color w:val="auto"/>
                <w:sz w:val="21"/>
                <w:highlight w:val="none"/>
              </w:rPr>
              <w:t>%</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7" w:hRule="atLeast"/>
          <w:jc w:val="center"/>
        </w:trPr>
        <w:tc>
          <w:tcPr>
            <w:tcW w:w="2482" w:type="dxa"/>
            <w:vAlign w:val="center"/>
          </w:tcPr>
          <w:p>
            <w:pPr>
              <w:pStyle w:val="24"/>
              <w:spacing w:before="8" w:line="261" w:lineRule="exact"/>
              <w:ind w:left="375" w:leftChars="0" w:right="367"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总计</w:t>
            </w:r>
          </w:p>
        </w:tc>
        <w:tc>
          <w:tcPr>
            <w:tcW w:w="1358" w:type="dxa"/>
            <w:vAlign w:val="center"/>
          </w:tcPr>
          <w:p>
            <w:pPr>
              <w:keepNext w:val="0"/>
              <w:keepLines w:val="0"/>
              <w:pageBreakBefore w:val="0"/>
              <w:widowControl w:val="0"/>
              <w:kinsoku/>
              <w:wordWrap/>
              <w:overflowPunct/>
              <w:topLinePunct w:val="0"/>
              <w:autoSpaceDE/>
              <w:autoSpaceDN/>
              <w:bidi w:val="0"/>
              <w:adjustRightInd/>
              <w:snapToGrid/>
              <w:spacing w:line="360" w:lineRule="auto"/>
              <w:jc w:val="center"/>
              <w:textAlignment w:val="auto"/>
              <w:rPr>
                <w:rFonts w:hint="default" w:ascii="Times New Roman" w:hAnsi="Times New Roman" w:cs="Times New Roman"/>
                <w:color w:val="auto"/>
                <w:sz w:val="21"/>
                <w:highlight w:val="none"/>
              </w:rPr>
            </w:pPr>
            <w:r>
              <w:rPr>
                <w:rFonts w:hint="default" w:ascii="Times New Roman" w:hAnsi="Times New Roman" w:cs="Times New Roman"/>
                <w:color w:val="auto"/>
                <w:sz w:val="21"/>
                <w:szCs w:val="21"/>
                <w:highlight w:val="none"/>
                <w:vertAlign w:val="baseline"/>
                <w:lang w:val="en-US" w:eastAsia="zh-CN"/>
              </w:rPr>
              <w:t>8.51</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5.13</w:t>
            </w:r>
          </w:p>
        </w:tc>
        <w:tc>
          <w:tcPr>
            <w:tcW w:w="1359" w:type="dxa"/>
            <w:vAlign w:val="center"/>
          </w:tcPr>
          <w:p>
            <w:pPr>
              <w:pStyle w:val="24"/>
              <w:spacing w:line="241" w:lineRule="exact"/>
              <w:ind w:left="306" w:leftChars="0" w:right="298" w:rightChars="0"/>
              <w:jc w:val="center"/>
              <w:rPr>
                <w:rFonts w:hint="default" w:ascii="Times New Roman" w:hAnsi="Times New Roman" w:eastAsia="仿宋" w:cs="Times New Roman"/>
                <w:color w:val="auto"/>
                <w:kern w:val="2"/>
                <w:sz w:val="21"/>
                <w:szCs w:val="24"/>
                <w:highlight w:val="none"/>
                <w:lang w:val="en-US" w:eastAsia="zh-CN" w:bidi="zh-CN"/>
              </w:rPr>
            </w:pPr>
            <w:r>
              <w:rPr>
                <w:rFonts w:hint="default" w:ascii="Times New Roman" w:hAnsi="Times New Roman" w:cs="Times New Roman"/>
                <w:color w:val="auto"/>
                <w:sz w:val="21"/>
                <w:highlight w:val="none"/>
                <w:lang w:val="en-US" w:eastAsia="zh-CN"/>
              </w:rPr>
              <w:t>5.12</w:t>
            </w:r>
          </w:p>
        </w:tc>
        <w:tc>
          <w:tcPr>
            <w:tcW w:w="1371" w:type="dxa"/>
          </w:tcPr>
          <w:p>
            <w:pPr>
              <w:pStyle w:val="24"/>
              <w:spacing w:before="21"/>
              <w:ind w:left="358"/>
              <w:jc w:val="left"/>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rPr>
              <w:t>99.50%</w:t>
            </w:r>
          </w:p>
        </w:tc>
        <w:tc>
          <w:tcPr>
            <w:tcW w:w="1361" w:type="dxa"/>
          </w:tcPr>
          <w:p>
            <w:pPr>
              <w:pStyle w:val="24"/>
              <w:spacing w:before="21"/>
              <w:ind w:right="345" w:firstLine="210" w:firstLineChars="100"/>
              <w:jc w:val="both"/>
              <w:rPr>
                <w:rFonts w:hint="default" w:ascii="Times New Roman" w:hAnsi="Times New Roman" w:cs="Times New Roman"/>
                <w:color w:val="auto"/>
                <w:sz w:val="21"/>
                <w:highlight w:val="none"/>
              </w:rPr>
            </w:pPr>
            <w:r>
              <w:rPr>
                <w:rFonts w:hint="default" w:ascii="Times New Roman" w:hAnsi="Times New Roman" w:cs="Times New Roman"/>
                <w:color w:val="auto"/>
                <w:sz w:val="21"/>
                <w:highlight w:val="none"/>
                <w:lang w:val="en-US" w:eastAsia="zh-CN"/>
              </w:rPr>
              <w:t>60.31</w:t>
            </w:r>
            <w:r>
              <w:rPr>
                <w:rFonts w:hint="default" w:ascii="Times New Roman" w:hAnsi="Times New Roman" w:cs="Times New Roman"/>
                <w:color w:val="auto"/>
                <w:sz w:val="21"/>
                <w:highlight w:val="none"/>
              </w:rPr>
              <w:t>%</w:t>
            </w:r>
          </w:p>
        </w:tc>
      </w:tr>
    </w:tbl>
    <w:p>
      <w:pPr>
        <w:pStyle w:val="3"/>
        <w:bidi w:val="0"/>
        <w:rPr>
          <w:rFonts w:hint="default" w:ascii="Times New Roman" w:hAnsi="Times New Roman" w:cs="Times New Roman"/>
          <w:color w:val="auto"/>
          <w:highlight w:val="none"/>
        </w:rPr>
      </w:pPr>
      <w:bookmarkStart w:id="424" w:name="_Toc24127"/>
      <w:r>
        <w:rPr>
          <w:rFonts w:hint="default" w:ascii="Times New Roman" w:hAnsi="Times New Roman" w:cs="Times New Roman"/>
          <w:color w:val="auto"/>
          <w:highlight w:val="none"/>
        </w:rPr>
        <w:t>5.3 公众满意度调查</w:t>
      </w:r>
      <w:bookmarkEnd w:id="42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建设单位向本工程周围群众进行民意调查和询问。目的在于了解项目水土保持工作 及水土保持设施对当地经济和自然环境所产生的影响， 征询多数民众的反应， 从而评价 工程建设的社会效果。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本次调查，共计发放调查问卷24份</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rPr>
        <w:t>收回24份，其中，男性被调查者17人，女 性被调查者7人，大学文化者3人，大专文化者8人</w:t>
      </w:r>
      <w:r>
        <w:rPr>
          <w:rFonts w:hint="eastAsia" w:ascii="Times New Roman" w:hAnsi="Times New Roman" w:cs="Times New Roman"/>
          <w:color w:val="auto"/>
          <w:highlight w:val="none"/>
          <w:lang w:val="en-US" w:eastAsia="zh-CN"/>
        </w:rPr>
        <w:t>,</w:t>
      </w:r>
      <w:r>
        <w:rPr>
          <w:rFonts w:hint="default" w:ascii="Times New Roman" w:hAnsi="Times New Roman" w:cs="Times New Roman"/>
          <w:color w:val="auto"/>
          <w:highlight w:val="none"/>
        </w:rPr>
        <w:t>高中文化者6人在被调查者中， 有 16 人认为本项目在建设过程中重视水土流失防治工作，占总调查人数的 66.67%，有 19 人认为本工程在建设过程中植被覆盖效果显著， 占总调查人数的 79.16%， 6 人认为本 工程排水措施到位，占总调查人数的 25%，被调查者均认为项目对所扰动的土地恢复利 用好，并对项目水土保持设施建设情况表示满意。</w:t>
      </w:r>
    </w:p>
    <w:p>
      <w:pPr>
        <w:pStyle w:val="2"/>
        <w:bidi w:val="0"/>
        <w:rPr>
          <w:rFonts w:hint="default" w:ascii="Times New Roman" w:hAnsi="Times New Roman" w:cs="Times New Roman"/>
          <w:color w:val="auto"/>
          <w:highlight w:val="none"/>
        </w:rPr>
        <w:sectPr>
          <w:headerReference r:id="rId31" w:type="default"/>
          <w:pgSz w:w="11906" w:h="16838"/>
          <w:pgMar w:top="1440" w:right="1440" w:bottom="1440" w:left="1440" w:header="851" w:footer="992" w:gutter="0"/>
          <w:pgNumType w:fmt="decimal"/>
          <w:cols w:space="425" w:num="1"/>
          <w:docGrid w:type="lines" w:linePitch="312" w:charSpace="0"/>
        </w:sectPr>
      </w:pPr>
    </w:p>
    <w:p>
      <w:pPr>
        <w:pStyle w:val="2"/>
        <w:bidi w:val="0"/>
        <w:rPr>
          <w:rFonts w:hint="default" w:ascii="Times New Roman" w:hAnsi="Times New Roman" w:cs="Times New Roman"/>
          <w:color w:val="auto"/>
          <w:highlight w:val="none"/>
        </w:rPr>
      </w:pPr>
      <w:bookmarkStart w:id="425" w:name="_Toc30128"/>
      <w:r>
        <w:rPr>
          <w:rFonts w:hint="default" w:ascii="Times New Roman" w:hAnsi="Times New Roman" w:cs="Times New Roman"/>
          <w:color w:val="auto"/>
          <w:highlight w:val="none"/>
        </w:rPr>
        <w:t>6 水土保持管理</w:t>
      </w:r>
      <w:bookmarkEnd w:id="425"/>
    </w:p>
    <w:p>
      <w:pPr>
        <w:pStyle w:val="3"/>
        <w:bidi w:val="0"/>
        <w:rPr>
          <w:rFonts w:hint="default" w:ascii="Times New Roman" w:hAnsi="Times New Roman" w:eastAsia="黑体" w:cs="Times New Roman"/>
          <w:color w:val="auto"/>
          <w:szCs w:val="27"/>
          <w:highlight w:val="none"/>
        </w:rPr>
      </w:pPr>
      <w:bookmarkStart w:id="426" w:name="_Toc18117"/>
      <w:r>
        <w:rPr>
          <w:rFonts w:hint="default" w:ascii="Times New Roman" w:hAnsi="Times New Roman" w:cs="Times New Roman"/>
          <w:color w:val="auto"/>
          <w:highlight w:val="none"/>
        </w:rPr>
        <w:t>6.1 组织管理</w:t>
      </w:r>
      <w:bookmarkEnd w:id="42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水保领导小组负责环境保护方案的策划和组织安排具体工作由项目部专职水保管理员负责实施。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水保工作领导小组是水保的归口管理部门， 同时也是水保管理的监督部门， 具体负 责水保的监督管理工作。水保工作领导小组职责如下：</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1、落实国家和行业颁布的相关强制性标准、规范、规程和规定和各级水行政主管部门对</w:t>
      </w: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项目水保的有关要求，牵头、组织、监督完成经批准的水保方案报告书所规定的各项水保任务。</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2、负责建立健全</w:t>
      </w: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项目水保管 理体系，实行项目部经理负责制，制定水保管理制度，监督各方水保工作的有效开展。</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3、负责水土流失灾害事件的调查处理及制定水保的各项管理制度。组织相关部门 对基层水保的管理体系、工程建设进度质量及施工现场的水土保持工作落实情况进行检 查、考核和评比，并按照水保管理制度进行考核奖惩；</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4 、负责水保监理工作的归口管理。及时处理施工过程出现的水保问题。</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5、负责水保监测的管理工作。督促水保监测单位建立水保监测体系，制定水保监 测计划，随时掌握水土流失变化并落实监测报告。</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6、负责地方协调、配合上级及地方政府的监督检查工作。依据有关法律、法规及 合同文件，及时处理各种水保纠纷；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7、负责水保宣传、培训、统计工作。做好日常水保的宣传教育，提高参建者对水 保认识的重要性； 安排相关部门对一线施工人员进行水土保持培训工作；督促相关部 门及时收集、统计工程建设的各种数据</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并按时上报。</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8 、参与水保功能设施的验收及水保阶段验收、竣工验收工作。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9 、负责组织各相关水保的专项设计审查。</w:t>
      </w:r>
    </w:p>
    <w:p>
      <w:pPr>
        <w:pStyle w:val="3"/>
        <w:bidi w:val="0"/>
        <w:rPr>
          <w:rFonts w:hint="default" w:ascii="Times New Roman" w:hAnsi="Times New Roman" w:cs="Times New Roman"/>
          <w:color w:val="auto"/>
          <w:highlight w:val="none"/>
        </w:rPr>
      </w:pPr>
      <w:bookmarkStart w:id="427" w:name="_Toc20286"/>
      <w:r>
        <w:rPr>
          <w:rFonts w:hint="default" w:ascii="Times New Roman" w:hAnsi="Times New Roman" w:cs="Times New Roman"/>
          <w:color w:val="auto"/>
          <w:highlight w:val="none"/>
        </w:rPr>
        <w:t>6.2 规章制度</w:t>
      </w:r>
      <w:bookmarkEnd w:id="427"/>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为加强</w:t>
      </w: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项目工程质量管理，强化全员质量意识，加强</w:t>
      </w: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项目工程质量管理制度化、规范化、程序化，确保总体项目工程质量等级达到优良</w:t>
      </w:r>
      <w:r>
        <w:rPr>
          <w:rFonts w:hint="default" w:ascii="Times New Roman" w:hAnsi="Times New Roman" w:cs="Times New Roman"/>
          <w:color w:val="auto"/>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1、工程项目部每月定期对本标段水保管理制度逐条逐项地进行一次检查。发现存在问题的，立即制定措施，及时整改。按季度对施工单位行进评分，并纳入年度考核。 属于施工人员不按照技术交底进行作业或有意不执行相关规定的， 要根据管理制度给予 相应的处罚。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2、建设项目部制定水保考评办法对工程建设相关各方的水保行为进行考核。对水保工作有显著成绩的单位或个人，给予表彰和奖励；对违反水保法规和本合同规定，未 履行水保设计文件、合同条款的施工及监理单位，可参照合同条款内容，给予责任单位 经济处罚。经济处罚直接从工程进度款内扣除。</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3、如果由于疏忽</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失职或故意行为违反水保法律、法规和规章以及合同的规定， 造成环境破坏、水土流失危害， 由相应的施工单位、运行管理单位或水保监测单位承担当地政府水行政主管部门依法采取的处罚责任；造成重大水土流失事故，导致财产损失或人身伤亡等严重后果的单位和个人，由相应的施工单位承担有关执法部门依法追究的刑事责任。</w:t>
      </w:r>
    </w:p>
    <w:p>
      <w:pPr>
        <w:pStyle w:val="3"/>
        <w:bidi w:val="0"/>
        <w:rPr>
          <w:rFonts w:hint="default" w:ascii="Times New Roman" w:hAnsi="Times New Roman" w:cs="Times New Roman"/>
          <w:color w:val="auto"/>
          <w:highlight w:val="none"/>
        </w:rPr>
      </w:pPr>
      <w:bookmarkStart w:id="428" w:name="_Toc15576"/>
      <w:r>
        <w:rPr>
          <w:rFonts w:hint="default" w:ascii="Times New Roman" w:hAnsi="Times New Roman" w:cs="Times New Roman"/>
          <w:color w:val="auto"/>
          <w:highlight w:val="none"/>
        </w:rPr>
        <w:t>6.3 建设管理</w:t>
      </w:r>
      <w:bookmarkEnd w:id="428"/>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201</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年</w:t>
      </w:r>
      <w:r>
        <w:rPr>
          <w:rFonts w:hint="default" w:ascii="Times New Roman" w:hAnsi="Times New Roman" w:cs="Times New Roman"/>
          <w:color w:val="auto"/>
          <w:highlight w:val="none"/>
          <w:lang w:val="en-US" w:eastAsia="zh-CN"/>
        </w:rPr>
        <w:t>10</w:t>
      </w:r>
      <w:r>
        <w:rPr>
          <w:rFonts w:hint="default" w:ascii="Times New Roman" w:hAnsi="Times New Roman" w:cs="Times New Roman"/>
          <w:color w:val="auto"/>
          <w:highlight w:val="none"/>
        </w:rPr>
        <w:t>月，由湖</w:t>
      </w:r>
      <w:r>
        <w:rPr>
          <w:rFonts w:hint="default" w:ascii="Times New Roman" w:hAnsi="Times New Roman" w:cs="Times New Roman"/>
          <w:color w:val="auto"/>
          <w:highlight w:val="none"/>
          <w:lang w:val="en-US" w:eastAsia="zh-CN"/>
        </w:rPr>
        <w:t>南华意项目管理有限公司</w:t>
      </w:r>
      <w:r>
        <w:rPr>
          <w:rFonts w:hint="default" w:ascii="Times New Roman" w:hAnsi="Times New Roman" w:cs="Times New Roman"/>
          <w:color w:val="auto"/>
          <w:highlight w:val="none"/>
        </w:rPr>
        <w:t>完成《</w:t>
      </w:r>
      <w:r>
        <w:rPr>
          <w:rFonts w:hint="default" w:ascii="Times New Roman" w:hAnsi="Times New Roman" w:cs="Times New Roman"/>
          <w:color w:val="auto"/>
          <w:highlight w:val="none"/>
          <w:lang w:eastAsia="zh-CN"/>
        </w:rPr>
        <w:t>华天路新建工程</w:t>
      </w:r>
      <w:r>
        <w:rPr>
          <w:rFonts w:hint="default" w:ascii="Times New Roman" w:hAnsi="Times New Roman" w:cs="Times New Roman"/>
          <w:color w:val="auto"/>
          <w:highlight w:val="none"/>
        </w:rPr>
        <w:t>水土保持方案报告书》（报批稿）</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201</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年</w:t>
      </w:r>
      <w:r>
        <w:rPr>
          <w:rFonts w:hint="default" w:ascii="Times New Roman" w:hAnsi="Times New Roman" w:cs="Times New Roman"/>
          <w:color w:val="auto"/>
          <w:highlight w:val="none"/>
          <w:lang w:val="en-US" w:eastAsia="zh-CN"/>
        </w:rPr>
        <w:t>10</w:t>
      </w:r>
      <w:r>
        <w:rPr>
          <w:rFonts w:hint="default" w:ascii="Times New Roman" w:hAnsi="Times New Roman" w:cs="Times New Roman"/>
          <w:color w:val="auto"/>
          <w:highlight w:val="none"/>
        </w:rPr>
        <w:t>月，衡阳市水利局《</w:t>
      </w:r>
      <w:r>
        <w:rPr>
          <w:rFonts w:hint="default" w:ascii="Times New Roman" w:hAnsi="Times New Roman" w:cs="Times New Roman"/>
          <w:color w:val="auto"/>
          <w:highlight w:val="none"/>
          <w:lang w:val="en-US" w:eastAsia="zh-CN"/>
        </w:rPr>
        <w:t>华天路新建工程</w:t>
      </w:r>
      <w:r>
        <w:rPr>
          <w:rFonts w:hint="default" w:ascii="Times New Roman" w:hAnsi="Times New Roman" w:cs="Times New Roman"/>
          <w:color w:val="auto"/>
          <w:highlight w:val="none"/>
        </w:rPr>
        <w:t>项目水土保持方案的批复）》（衡水许[201</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w:t>
      </w:r>
      <w:r>
        <w:rPr>
          <w:rFonts w:hint="default" w:ascii="Times New Roman" w:hAnsi="Times New Roman" w:cs="Times New Roman"/>
          <w:color w:val="auto"/>
          <w:highlight w:val="none"/>
          <w:lang w:val="en-US" w:eastAsia="zh-CN"/>
        </w:rPr>
        <w:t>3</w:t>
      </w:r>
      <w:r>
        <w:rPr>
          <w:rFonts w:hint="default" w:ascii="Times New Roman" w:hAnsi="Times New Roman" w:cs="Times New Roman"/>
          <w:color w:val="auto"/>
          <w:highlight w:val="none"/>
        </w:rPr>
        <w:t>4 号）文件批复了该《水土保持方案报告书》。</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eastAsia="zh-CN"/>
        </w:rPr>
      </w:pPr>
      <w:r>
        <w:rPr>
          <w:rFonts w:hint="default" w:ascii="Times New Roman" w:hAnsi="Times New Roman" w:cs="Times New Roman"/>
          <w:color w:val="auto"/>
          <w:highlight w:val="none"/>
        </w:rPr>
        <w:t>201</w:t>
      </w:r>
      <w:r>
        <w:rPr>
          <w:rFonts w:hint="default" w:ascii="Times New Roman" w:hAnsi="Times New Roman" w:cs="Times New Roman"/>
          <w:color w:val="auto"/>
          <w:highlight w:val="none"/>
          <w:lang w:val="en-US" w:eastAsia="zh-CN"/>
        </w:rPr>
        <w:t>6</w:t>
      </w:r>
      <w:r>
        <w:rPr>
          <w:rFonts w:hint="default" w:ascii="Times New Roman" w:hAnsi="Times New Roman" w:cs="Times New Roman"/>
          <w:color w:val="auto"/>
          <w:highlight w:val="none"/>
        </w:rPr>
        <w:t>年</w:t>
      </w:r>
      <w:r>
        <w:rPr>
          <w:rFonts w:hint="default" w:ascii="Times New Roman" w:hAnsi="Times New Roman" w:cs="Times New Roman"/>
          <w:color w:val="auto"/>
          <w:highlight w:val="none"/>
          <w:lang w:val="en-US" w:eastAsia="zh-CN"/>
        </w:rPr>
        <w:t>10</w:t>
      </w:r>
      <w:r>
        <w:rPr>
          <w:rFonts w:hint="default" w:ascii="Times New Roman" w:hAnsi="Times New Roman" w:cs="Times New Roman"/>
          <w:color w:val="auto"/>
          <w:highlight w:val="none"/>
        </w:rPr>
        <w:t>月，本工程正式开工建设。自开工以来，建设单位始终高度重视水土保持工作，通过不断完善业主牵头，监测、监理和设计及施工总承包单位共同参与的组织管理办法，成立了项目水土保持工作领导小组，配备专职水土保持工作人员</w:t>
      </w:r>
      <w:r>
        <w:rPr>
          <w:rFonts w:hint="default" w:ascii="Times New Roman" w:hAnsi="Times New Roman" w:cs="Times New Roman"/>
          <w:color w:val="auto"/>
          <w:highlight w:val="none"/>
          <w:lang w:eastAsia="zh-CN"/>
        </w:rPr>
        <w:t>。</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本工程各项土建、水土保持等工程均严格按照《中华人民共和国招标投标法实施条例》执行，对招标范围、计划工期、投标人资格要求、开标时间等严格按招标文件进行, 我公司在招标过程明确了水土保持条款，在与施工总承包单位中国恩菲工程技术有限公 司签订的合同中明确规定了水土保持措施 “三同时”具体要求，水土保持条款。并在设计、施工、监理、验收等环节严格要求，做好全过程控制</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在与参建单位签订的合同中列入了水土保持措施费用。规定了水土保持的措施与要求， 做好施工区及周边生态环境 保护，有效落实了水土保持工作。</w:t>
      </w:r>
    </w:p>
    <w:p>
      <w:pPr>
        <w:pStyle w:val="3"/>
        <w:bidi w:val="0"/>
        <w:rPr>
          <w:rFonts w:hint="default" w:ascii="Times New Roman" w:hAnsi="Times New Roman" w:cs="Times New Roman"/>
          <w:color w:val="auto"/>
          <w:sz w:val="21"/>
          <w:highlight w:val="none"/>
        </w:rPr>
      </w:pPr>
      <w:bookmarkStart w:id="429" w:name="_Toc12395"/>
      <w:r>
        <w:rPr>
          <w:rFonts w:hint="default" w:ascii="Times New Roman" w:hAnsi="Times New Roman" w:cs="Times New Roman"/>
          <w:color w:val="auto"/>
          <w:highlight w:val="none"/>
        </w:rPr>
        <w:t>6.4 水土保持监测</w:t>
      </w:r>
      <w:bookmarkEnd w:id="429"/>
    </w:p>
    <w:p>
      <w:pPr>
        <w:spacing w:before="78" w:line="359" w:lineRule="auto"/>
        <w:ind w:left="45" w:right="66" w:firstLine="469"/>
        <w:rPr>
          <w:rFonts w:hint="default" w:ascii="Times New Roman" w:hAnsi="Times New Roman" w:eastAsia="仿宋" w:cs="Times New Roman"/>
          <w:color w:val="auto"/>
          <w:sz w:val="24"/>
          <w:szCs w:val="24"/>
          <w:highlight w:val="none"/>
        </w:rPr>
      </w:pPr>
      <w:r>
        <w:rPr>
          <w:rFonts w:hint="default" w:ascii="Times New Roman" w:hAnsi="Times New Roman" w:eastAsia="Times New Roman" w:cs="Times New Roman"/>
          <w:color w:val="auto"/>
          <w:spacing w:val="-1"/>
          <w:sz w:val="24"/>
          <w:szCs w:val="24"/>
          <w:highlight w:val="none"/>
        </w:rPr>
        <w:t>201</w:t>
      </w:r>
      <w:r>
        <w:rPr>
          <w:rFonts w:hint="default" w:ascii="Times New Roman" w:hAnsi="Times New Roman" w:eastAsia="宋体" w:cs="Times New Roman"/>
          <w:color w:val="auto"/>
          <w:spacing w:val="-1"/>
          <w:sz w:val="24"/>
          <w:szCs w:val="24"/>
          <w:highlight w:val="none"/>
          <w:lang w:val="en-US" w:eastAsia="zh-CN"/>
        </w:rPr>
        <w:t>6</w:t>
      </w:r>
      <w:r>
        <w:rPr>
          <w:rFonts w:hint="default" w:ascii="Times New Roman" w:hAnsi="Times New Roman" w:eastAsia="Times New Roman" w:cs="Times New Roman"/>
          <w:color w:val="auto"/>
          <w:spacing w:val="-10"/>
          <w:sz w:val="24"/>
          <w:szCs w:val="24"/>
          <w:highlight w:val="none"/>
        </w:rPr>
        <w:t xml:space="preserve"> </w:t>
      </w:r>
      <w:r>
        <w:rPr>
          <w:rFonts w:hint="default" w:ascii="Times New Roman" w:hAnsi="Times New Roman" w:eastAsia="仿宋" w:cs="Times New Roman"/>
          <w:color w:val="auto"/>
          <w:spacing w:val="-1"/>
          <w:sz w:val="24"/>
          <w:szCs w:val="24"/>
          <w:highlight w:val="none"/>
        </w:rPr>
        <w:t>年</w:t>
      </w:r>
      <w:r>
        <w:rPr>
          <w:rFonts w:hint="default" w:ascii="Times New Roman" w:hAnsi="Times New Roman" w:eastAsia="仿宋" w:cs="Times New Roman"/>
          <w:color w:val="auto"/>
          <w:spacing w:val="-19"/>
          <w:sz w:val="24"/>
          <w:szCs w:val="24"/>
          <w:highlight w:val="none"/>
        </w:rPr>
        <w:t xml:space="preserve"> </w:t>
      </w:r>
      <w:r>
        <w:rPr>
          <w:rFonts w:hint="default" w:ascii="Times New Roman" w:hAnsi="Times New Roman" w:eastAsia="宋体" w:cs="Times New Roman"/>
          <w:color w:val="auto"/>
          <w:spacing w:val="-1"/>
          <w:sz w:val="24"/>
          <w:szCs w:val="24"/>
          <w:highlight w:val="none"/>
          <w:lang w:val="en-US" w:eastAsia="zh-CN"/>
        </w:rPr>
        <w:t>8</w:t>
      </w:r>
      <w:r>
        <w:rPr>
          <w:rFonts w:hint="default" w:ascii="Times New Roman" w:hAnsi="Times New Roman" w:eastAsia="仿宋" w:cs="Times New Roman"/>
          <w:color w:val="auto"/>
          <w:spacing w:val="-1"/>
          <w:sz w:val="24"/>
          <w:szCs w:val="24"/>
          <w:highlight w:val="none"/>
        </w:rPr>
        <w:t>月</w:t>
      </w:r>
      <w:r>
        <w:rPr>
          <w:rFonts w:hint="default" w:ascii="Times New Roman" w:hAnsi="Times New Roman" w:eastAsia="仿宋" w:cs="Times New Roman"/>
          <w:color w:val="auto"/>
          <w:spacing w:val="-121"/>
          <w:sz w:val="24"/>
          <w:szCs w:val="24"/>
          <w:highlight w:val="none"/>
        </w:rPr>
        <w:t>，</w:t>
      </w:r>
      <w:r>
        <w:rPr>
          <w:rFonts w:hint="default" w:ascii="Times New Roman" w:hAnsi="Times New Roman" w:eastAsia="仿宋" w:cs="Times New Roman"/>
          <w:color w:val="auto"/>
          <w:spacing w:val="-1"/>
          <w:sz w:val="24"/>
          <w:szCs w:val="24"/>
          <w:highlight w:val="none"/>
        </w:rPr>
        <w:t>湖南</w:t>
      </w:r>
      <w:r>
        <w:rPr>
          <w:rFonts w:hint="default" w:ascii="Times New Roman" w:hAnsi="Times New Roman" w:cs="Times New Roman"/>
          <w:color w:val="auto"/>
          <w:spacing w:val="-1"/>
          <w:sz w:val="24"/>
          <w:szCs w:val="24"/>
          <w:highlight w:val="none"/>
          <w:lang w:val="en-US" w:eastAsia="zh-CN"/>
        </w:rPr>
        <w:t>华意项目管理有限</w:t>
      </w:r>
      <w:r>
        <w:rPr>
          <w:rFonts w:hint="default" w:ascii="Times New Roman" w:hAnsi="Times New Roman" w:eastAsia="仿宋" w:cs="Times New Roman"/>
          <w:color w:val="auto"/>
          <w:sz w:val="24"/>
          <w:szCs w:val="24"/>
          <w:highlight w:val="none"/>
        </w:rPr>
        <w:t>公司受项目建设单</w:t>
      </w:r>
      <w:r>
        <w:rPr>
          <w:rFonts w:hint="default" w:ascii="Times New Roman" w:hAnsi="Times New Roman" w:cs="Times New Roman"/>
          <w:color w:val="auto"/>
          <w:sz w:val="24"/>
          <w:szCs w:val="24"/>
          <w:highlight w:val="none"/>
          <w:lang w:val="en-US" w:eastAsia="zh-CN"/>
        </w:rPr>
        <w:t>衡阳市城市建设投资</w:t>
      </w:r>
      <w:r>
        <w:rPr>
          <w:rFonts w:hint="default" w:ascii="Times New Roman" w:hAnsi="Times New Roman" w:eastAsia="仿宋" w:cs="Times New Roman"/>
          <w:color w:val="auto"/>
          <w:sz w:val="24"/>
          <w:szCs w:val="24"/>
          <w:highlight w:val="none"/>
        </w:rPr>
        <w:t>有限公司委托开展水土保持监测工作</w:t>
      </w:r>
      <w:r>
        <w:rPr>
          <w:rFonts w:hint="default" w:ascii="Times New Roman" w:hAnsi="Times New Roman" w:eastAsia="仿宋" w:cs="Times New Roman"/>
          <w:color w:val="auto"/>
          <w:spacing w:val="-61"/>
          <w:sz w:val="24"/>
          <w:szCs w:val="24"/>
          <w:highlight w:val="none"/>
        </w:rPr>
        <w:t>。</w:t>
      </w:r>
    </w:p>
    <w:p>
      <w:pPr>
        <w:spacing w:before="9" w:line="358" w:lineRule="auto"/>
        <w:ind w:left="35" w:firstLine="491"/>
        <w:rPr>
          <w:rFonts w:hint="default" w:ascii="Times New Roman" w:hAnsi="Times New Roman" w:cs="Times New Roman"/>
          <w:color w:val="auto"/>
          <w:sz w:val="24"/>
          <w:szCs w:val="24"/>
          <w:highlight w:val="none"/>
          <w:lang w:val="en-US" w:eastAsia="zh-CN"/>
        </w:rPr>
      </w:pPr>
      <w:r>
        <w:rPr>
          <w:rFonts w:hint="default" w:ascii="Times New Roman" w:hAnsi="Times New Roman" w:eastAsia="仿宋" w:cs="Times New Roman"/>
          <w:color w:val="auto"/>
          <w:sz w:val="24"/>
          <w:szCs w:val="24"/>
          <w:highlight w:val="none"/>
        </w:rPr>
        <w:t>为了加强本工程水土保持监测工作</w:t>
      </w:r>
      <w:r>
        <w:rPr>
          <w:rFonts w:hint="default" w:ascii="Times New Roman" w:hAnsi="Times New Roman" w:eastAsia="仿宋" w:cs="Times New Roman"/>
          <w:color w:val="auto"/>
          <w:spacing w:val="-68"/>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监测单位及时组建了</w:t>
      </w:r>
      <w:r>
        <w:rPr>
          <w:rFonts w:hint="default" w:ascii="Times New Roman" w:hAnsi="Times New Roman" w:cs="Times New Roman"/>
          <w:color w:val="auto"/>
          <w:sz w:val="24"/>
          <w:szCs w:val="24"/>
          <w:highlight w:val="none"/>
          <w:lang w:val="en-US" w:eastAsia="zh-CN"/>
        </w:rPr>
        <w:t>华天路新建工程</w:t>
      </w:r>
      <w:r>
        <w:rPr>
          <w:rFonts w:hint="default" w:ascii="Times New Roman" w:hAnsi="Times New Roman" w:eastAsia="仿宋" w:cs="Times New Roman"/>
          <w:color w:val="auto"/>
          <w:sz w:val="24"/>
          <w:szCs w:val="24"/>
          <w:highlight w:val="none"/>
        </w:rPr>
        <w:t>项目水土保持监测组</w:t>
      </w:r>
      <w:r>
        <w:rPr>
          <w:rFonts w:hint="default" w:ascii="Times New Roman" w:hAnsi="Times New Roman" w:cs="Times New Roman"/>
          <w:color w:val="auto"/>
          <w:sz w:val="24"/>
          <w:szCs w:val="24"/>
          <w:highlight w:val="none"/>
          <w:lang w:val="en-US" w:eastAsia="zh-CN"/>
        </w:rPr>
        <w:t>进行检测。</w:t>
      </w:r>
    </w:p>
    <w:p>
      <w:pPr>
        <w:pStyle w:val="3"/>
        <w:bidi w:val="0"/>
        <w:rPr>
          <w:rFonts w:hint="default" w:ascii="Times New Roman" w:hAnsi="Times New Roman" w:cs="Times New Roman"/>
          <w:color w:val="auto"/>
          <w:highlight w:val="none"/>
        </w:rPr>
      </w:pPr>
      <w:r>
        <w:rPr>
          <w:rFonts w:hint="default" w:ascii="Times New Roman" w:hAnsi="Times New Roman" w:cs="Times New Roman"/>
          <w:color w:val="auto"/>
          <w:highlight w:val="none"/>
        </w:rPr>
        <w:t>6.5 水土保持监理</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本工程主体工程监理由</w:t>
      </w:r>
      <w:r>
        <w:rPr>
          <w:rFonts w:hint="default" w:ascii="Times New Roman" w:hAnsi="Times New Roman" w:cs="Times New Roman"/>
          <w:color w:val="auto"/>
          <w:highlight w:val="none"/>
          <w:lang w:val="en-US" w:eastAsia="zh-CN"/>
        </w:rPr>
        <w:t>河北远大工程咨询</w:t>
      </w:r>
      <w:r>
        <w:rPr>
          <w:rFonts w:hint="default" w:ascii="Times New Roman" w:hAnsi="Times New Roman" w:cs="Times New Roman"/>
          <w:color w:val="auto"/>
          <w:highlight w:val="none"/>
        </w:rPr>
        <w:t>有限公司承担。并委托湖南水利水电 工程监理承包总公司承担本工程水土保持监理。监理单位提交监理月报 30 份，监理年 度总结报告 1 份，并及时组织施工单位进行单元工程验收与质量评定。</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监理单位实行总监理工程师负责制，并全面负责监理机构的工作。根据本工程项目 涉及水土保持工程的特点， 配备相应的专业监理工程师及监理员。在监理工作开展过程中，常驻专业监理工程师，依据变化情况及时补充和调整相应的监理工程师和监理员。 建立健全现场监理组织机构，完善监理制度，规范监理实施程序。为有效对施工阶段现 场实行全方位、全过程施工监理，派出了有丰富监理经验和技术水平的监理工程师、监理员组成的监理队伍，对施工阶段现场实施监理。并根据工程的要求制定和完善了各岗位的职责、工作守则；同时，根据监理总目标和总的指导思想</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为了做到严格监</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完善监理制度，编制完成了《水土保持监理规划》，并在《水土保持监理规划》的指导下 编制了《水土保持监理实施细则》，对施工过程有效的进行“事前、事中、事后”的监控，主要是做好事前预控，制定了相应措施，为实现监理工作的制度化、标准化和程序化，使监理工作有法可依、有章可循提供了依据，为工程顺利开展奠定了基础。</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监理具体程序为：施工开始前，监理单位审核了施工单位的资质、质量计划、年（季）度进度计划，经批准后实施；施工过程中，主要采用现场检查验收、旁站与巡视、平行检验等控制手段，所有控制过程都保存记录。及时组织施工单位进行质量评定与分部工程验收，做好工程验收工作。定期向公司报告工程质量状况，并进行统计、分析与评价。</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本工程水土保持监理工作范围主要为主体工程区的扰动面积和水土保持措施等。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本工程水土保持监理主要工作内容： ①对施工单位的水土保持工作采取检查、旁站 和指令文件等监理方式进行现场巡查，保证各项水土保持措施的如期建设和功能的正常发挥，结合现场巡查，提出要求限期完成的有关水土保持工作； ②对施工单位的水土保 持相关报告进行审查，提出审查、修改意见； ③依据有关法律、法规及工程承包合同， 协助处理各种水土保持纠纷； ④提交水土保持监理工作报告</w:t>
      </w:r>
      <w:r>
        <w:rPr>
          <w:rFonts w:hint="eastAsia" w:ascii="Times New Roman" w:hAnsi="Times New Roman" w:cs="Times New Roman"/>
          <w:color w:val="auto"/>
          <w:highlight w:val="none"/>
          <w:lang w:eastAsia="zh-CN"/>
        </w:rPr>
        <w:t>，</w:t>
      </w:r>
      <w:r>
        <w:rPr>
          <w:rFonts w:hint="default" w:ascii="Times New Roman" w:hAnsi="Times New Roman" w:cs="Times New Roman"/>
          <w:color w:val="auto"/>
          <w:highlight w:val="none"/>
        </w:rPr>
        <w:t>满足本项目的水土保持设施验收。</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本工程水土保持监理工作主要职责：依据监理委托合同、施工合同， 对批复水土保持方案设计的水土保持工程质量、进度、投资进行全方位监理及复核、核实等。</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根据《水土保持工程施工监理规范》对监理工程师的职责要求，认真实行“四控制（即开工条件、质量、进度、投资） ”，坚持事前控制、中间检查、验收把关，对工程 实施全面、全过程监理。监理人员始终恪守“科学、公正、廉洁”的职业准则，使监理工作健康、顺利开展。</w:t>
      </w:r>
    </w:p>
    <w:p>
      <w:pPr>
        <w:pStyle w:val="3"/>
        <w:bidi w:val="0"/>
        <w:rPr>
          <w:rFonts w:hint="default" w:ascii="Times New Roman" w:hAnsi="Times New Roman" w:cs="Times New Roman"/>
          <w:color w:val="auto"/>
          <w:sz w:val="21"/>
          <w:highlight w:val="none"/>
        </w:rPr>
      </w:pPr>
      <w:bookmarkStart w:id="430" w:name="_Toc20977"/>
      <w:r>
        <w:rPr>
          <w:rFonts w:hint="default" w:ascii="Times New Roman" w:hAnsi="Times New Roman" w:cs="Times New Roman"/>
          <w:color w:val="auto"/>
          <w:highlight w:val="none"/>
        </w:rPr>
        <w:t>6.6 水行政主管部门监督检查意见落实情况</w:t>
      </w:r>
      <w:bookmarkEnd w:id="430"/>
    </w:p>
    <w:p>
      <w:pPr>
        <w:keepNext w:val="0"/>
        <w:keepLines w:val="0"/>
        <w:pageBreakBefore w:val="0"/>
        <w:widowControl w:val="0"/>
        <w:kinsoku/>
        <w:wordWrap/>
        <w:overflowPunct/>
        <w:topLinePunct w:val="0"/>
        <w:autoSpaceDE/>
        <w:autoSpaceDN/>
        <w:bidi w:val="0"/>
        <w:adjustRightInd/>
        <w:snapToGrid/>
        <w:spacing w:line="48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本项目自开工建设以来，虽各级水行政主管部门未对该项目进行监督检查， 但是建设单位不定期组织施工单位、监理单位对项目区现场水土保持措施实施情况进行检查，确保工程水土流失防治效果满足批复的水土保持方案和生态环境保护要求。</w:t>
      </w:r>
    </w:p>
    <w:p>
      <w:pPr>
        <w:pStyle w:val="3"/>
        <w:bidi w:val="0"/>
        <w:rPr>
          <w:rFonts w:hint="default" w:ascii="Times New Roman" w:hAnsi="Times New Roman" w:cs="Times New Roman"/>
          <w:color w:val="auto"/>
          <w:sz w:val="21"/>
          <w:highlight w:val="none"/>
        </w:rPr>
      </w:pPr>
      <w:bookmarkStart w:id="431" w:name="_Toc32367"/>
      <w:r>
        <w:rPr>
          <w:rFonts w:hint="default" w:ascii="Times New Roman" w:hAnsi="Times New Roman" w:cs="Times New Roman"/>
          <w:color w:val="auto"/>
          <w:highlight w:val="none"/>
        </w:rPr>
        <w:t>6.7 水土保持补偿费缴纳情况</w:t>
      </w:r>
      <w:bookmarkEnd w:id="431"/>
    </w:p>
    <w:p>
      <w:pPr>
        <w:spacing w:before="78" w:line="360" w:lineRule="auto"/>
        <w:ind w:left="37" w:right="28" w:firstLine="479"/>
        <w:rPr>
          <w:rFonts w:hint="default" w:ascii="Times New Roman" w:hAnsi="Times New Roman" w:eastAsia="仿宋" w:cs="Times New Roman"/>
          <w:color w:val="auto"/>
          <w:spacing w:val="-92"/>
          <w:sz w:val="24"/>
          <w:szCs w:val="24"/>
          <w:highlight w:val="none"/>
        </w:rPr>
      </w:pPr>
      <w:r>
        <w:rPr>
          <w:rFonts w:hint="default" w:ascii="Times New Roman" w:hAnsi="Times New Roman" w:eastAsia="仿宋" w:cs="Times New Roman"/>
          <w:color w:val="auto"/>
          <w:spacing w:val="-1"/>
          <w:sz w:val="24"/>
          <w:szCs w:val="24"/>
          <w:highlight w:val="none"/>
        </w:rPr>
        <w:t>根据衡水许</w:t>
      </w:r>
      <w:r>
        <w:rPr>
          <w:rFonts w:hint="default" w:ascii="Times New Roman" w:hAnsi="Times New Roman" w:eastAsia="Times New Roman" w:cs="Times New Roman"/>
          <w:color w:val="auto"/>
          <w:spacing w:val="-1"/>
          <w:sz w:val="24"/>
          <w:szCs w:val="24"/>
          <w:highlight w:val="none"/>
        </w:rPr>
        <w:t>[201</w:t>
      </w:r>
      <w:r>
        <w:rPr>
          <w:rFonts w:hint="default" w:ascii="Times New Roman" w:hAnsi="Times New Roman" w:eastAsia="宋体" w:cs="Times New Roman"/>
          <w:color w:val="auto"/>
          <w:spacing w:val="-1"/>
          <w:sz w:val="24"/>
          <w:szCs w:val="24"/>
          <w:highlight w:val="none"/>
          <w:lang w:val="en-US" w:eastAsia="zh-CN"/>
        </w:rPr>
        <w:t>6</w:t>
      </w:r>
      <w:r>
        <w:rPr>
          <w:rFonts w:hint="default" w:ascii="Times New Roman" w:hAnsi="Times New Roman" w:eastAsia="Times New Roman" w:cs="Times New Roman"/>
          <w:color w:val="auto"/>
          <w:spacing w:val="-1"/>
          <w:sz w:val="24"/>
          <w:szCs w:val="24"/>
          <w:highlight w:val="none"/>
        </w:rPr>
        <w:t>]</w:t>
      </w:r>
      <w:r>
        <w:rPr>
          <w:rFonts w:hint="default" w:ascii="Times New Roman" w:hAnsi="Times New Roman" w:eastAsia="宋体" w:cs="Times New Roman"/>
          <w:color w:val="auto"/>
          <w:spacing w:val="-1"/>
          <w:sz w:val="24"/>
          <w:szCs w:val="24"/>
          <w:highlight w:val="none"/>
          <w:lang w:val="en-US" w:eastAsia="zh-CN"/>
        </w:rPr>
        <w:t>3</w:t>
      </w:r>
      <w:r>
        <w:rPr>
          <w:rFonts w:hint="default" w:ascii="Times New Roman" w:hAnsi="Times New Roman" w:eastAsia="Times New Roman" w:cs="Times New Roman"/>
          <w:color w:val="auto"/>
          <w:spacing w:val="-1"/>
          <w:sz w:val="24"/>
          <w:szCs w:val="24"/>
          <w:highlight w:val="none"/>
        </w:rPr>
        <w:t>4</w:t>
      </w:r>
      <w:r>
        <w:rPr>
          <w:rFonts w:hint="default" w:ascii="Times New Roman" w:hAnsi="Times New Roman" w:eastAsia="Times New Roman" w:cs="Times New Roman"/>
          <w:color w:val="auto"/>
          <w:spacing w:val="-49"/>
          <w:sz w:val="24"/>
          <w:szCs w:val="24"/>
          <w:highlight w:val="none"/>
        </w:rPr>
        <w:t xml:space="preserve"> </w:t>
      </w:r>
      <w:r>
        <w:rPr>
          <w:rFonts w:hint="default" w:ascii="Times New Roman" w:hAnsi="Times New Roman" w:eastAsia="仿宋" w:cs="Times New Roman"/>
          <w:color w:val="auto"/>
          <w:spacing w:val="-1"/>
          <w:sz w:val="24"/>
          <w:szCs w:val="24"/>
          <w:highlight w:val="none"/>
        </w:rPr>
        <w:t>号文《</w:t>
      </w:r>
      <w:r>
        <w:rPr>
          <w:rFonts w:hint="default" w:ascii="Times New Roman" w:hAnsi="Times New Roman" w:cs="Times New Roman"/>
          <w:color w:val="auto"/>
          <w:spacing w:val="-1"/>
          <w:sz w:val="24"/>
          <w:szCs w:val="24"/>
          <w:highlight w:val="none"/>
          <w:lang w:val="en-US" w:eastAsia="zh-CN"/>
        </w:rPr>
        <w:t>华天路新建工程</w:t>
      </w:r>
      <w:r>
        <w:rPr>
          <w:rFonts w:hint="default" w:ascii="Times New Roman" w:hAnsi="Times New Roman" w:eastAsia="仿宋" w:cs="Times New Roman"/>
          <w:color w:val="auto"/>
          <w:sz w:val="24"/>
          <w:szCs w:val="24"/>
          <w:highlight w:val="none"/>
        </w:rPr>
        <w:t>项目水土保持方案的批复》</w:t>
      </w:r>
      <w:r>
        <w:rPr>
          <w:rFonts w:hint="default" w:ascii="Times New Roman" w:hAnsi="Times New Roman" w:eastAsia="仿宋" w:cs="Times New Roman"/>
          <w:color w:val="auto"/>
          <w:spacing w:val="-89"/>
          <w:sz w:val="24"/>
          <w:szCs w:val="24"/>
          <w:highlight w:val="none"/>
        </w:rPr>
        <w:t>，</w:t>
      </w:r>
      <w:r>
        <w:rPr>
          <w:rFonts w:hint="default" w:ascii="Times New Roman" w:hAnsi="Times New Roman" w:eastAsia="仿宋" w:cs="Times New Roman"/>
          <w:color w:val="auto"/>
          <w:sz w:val="24"/>
          <w:szCs w:val="24"/>
          <w:highlight w:val="none"/>
        </w:rPr>
        <w:t xml:space="preserve">本项目水土保持补偿费应缴纳 </w:t>
      </w:r>
      <w:r>
        <w:rPr>
          <w:rFonts w:hint="default" w:ascii="Times New Roman" w:hAnsi="Times New Roman" w:eastAsia="Times New Roman" w:cs="Times New Roman"/>
          <w:color w:val="auto"/>
          <w:sz w:val="24"/>
          <w:szCs w:val="24"/>
          <w:highlight w:val="none"/>
        </w:rPr>
        <w:t>7.</w:t>
      </w:r>
      <w:r>
        <w:rPr>
          <w:rFonts w:hint="default" w:ascii="Times New Roman" w:hAnsi="Times New Roman" w:eastAsia="宋体" w:cs="Times New Roman"/>
          <w:color w:val="auto"/>
          <w:sz w:val="24"/>
          <w:szCs w:val="24"/>
          <w:highlight w:val="none"/>
          <w:lang w:val="en-US" w:eastAsia="zh-CN"/>
        </w:rPr>
        <w:t>8</w:t>
      </w:r>
      <w:r>
        <w:rPr>
          <w:rFonts w:hint="default" w:ascii="Times New Roman" w:hAnsi="Times New Roman" w:eastAsia="Times New Roman" w:cs="Times New Roman"/>
          <w:color w:val="auto"/>
          <w:sz w:val="24"/>
          <w:szCs w:val="24"/>
          <w:highlight w:val="none"/>
        </w:rPr>
        <w:t xml:space="preserve">2 </w:t>
      </w:r>
      <w:r>
        <w:rPr>
          <w:rFonts w:hint="default" w:ascii="Times New Roman" w:hAnsi="Times New Roman" w:eastAsia="仿宋" w:cs="Times New Roman"/>
          <w:color w:val="auto"/>
          <w:sz w:val="24"/>
          <w:szCs w:val="24"/>
          <w:highlight w:val="none"/>
        </w:rPr>
        <w:t>万元</w:t>
      </w:r>
      <w:r>
        <w:rPr>
          <w:rFonts w:hint="default" w:ascii="Times New Roman" w:hAnsi="Times New Roman" w:eastAsia="仿宋" w:cs="Times New Roman"/>
          <w:color w:val="auto"/>
          <w:spacing w:val="-89"/>
          <w:sz w:val="24"/>
          <w:szCs w:val="24"/>
          <w:highlight w:val="none"/>
        </w:rPr>
        <w:t>。</w:t>
      </w:r>
      <w:r>
        <w:rPr>
          <w:rFonts w:hint="default" w:ascii="Times New Roman" w:hAnsi="Times New Roman" w:eastAsia="仿宋" w:cs="Times New Roman"/>
          <w:color w:val="auto"/>
          <w:sz w:val="24"/>
          <w:szCs w:val="24"/>
          <w:highlight w:val="none"/>
        </w:rPr>
        <w:t>本项目实际征地</w:t>
      </w:r>
      <w:r>
        <w:rPr>
          <w:rFonts w:hint="default" w:ascii="Times New Roman" w:hAnsi="Times New Roman" w:eastAsia="仿宋" w:cs="Times New Roman"/>
          <w:color w:val="auto"/>
          <w:spacing w:val="-1"/>
          <w:sz w:val="24"/>
          <w:szCs w:val="24"/>
          <w:highlight w:val="none"/>
        </w:rPr>
        <w:t xml:space="preserve"> </w:t>
      </w:r>
      <w:r>
        <w:rPr>
          <w:rFonts w:hint="default" w:ascii="Times New Roman" w:hAnsi="Times New Roman" w:cs="Times New Roman"/>
          <w:color w:val="auto"/>
          <w:spacing w:val="-1"/>
          <w:sz w:val="24"/>
          <w:szCs w:val="24"/>
          <w:highlight w:val="none"/>
          <w:lang w:val="en-US" w:eastAsia="zh-CN"/>
        </w:rPr>
        <w:t>8.51</w:t>
      </w:r>
      <w:r>
        <w:rPr>
          <w:rFonts w:hint="default" w:ascii="Times New Roman" w:hAnsi="Times New Roman" w:eastAsia="Times New Roman" w:cs="Times New Roman"/>
          <w:color w:val="auto"/>
          <w:sz w:val="24"/>
          <w:szCs w:val="24"/>
          <w:highlight w:val="none"/>
        </w:rPr>
        <w:t>hm</w:t>
      </w:r>
      <w:r>
        <w:rPr>
          <w:rFonts w:hint="default" w:ascii="Times New Roman" w:hAnsi="Times New Roman" w:eastAsia="Times New Roman" w:cs="Times New Roman"/>
          <w:color w:val="auto"/>
          <w:position w:val="10"/>
          <w:sz w:val="15"/>
          <w:szCs w:val="15"/>
          <w:highlight w:val="none"/>
        </w:rPr>
        <w:t>2</w:t>
      </w:r>
      <w:r>
        <w:rPr>
          <w:rFonts w:hint="default" w:ascii="Times New Roman" w:hAnsi="Times New Roman" w:eastAsia="Times New Roman" w:cs="Times New Roman"/>
          <w:color w:val="auto"/>
          <w:spacing w:val="-1"/>
          <w:position w:val="10"/>
          <w:sz w:val="15"/>
          <w:szCs w:val="15"/>
          <w:highlight w:val="none"/>
        </w:rPr>
        <w:t xml:space="preserve"> </w:t>
      </w:r>
      <w:r>
        <w:rPr>
          <w:rFonts w:hint="default" w:ascii="Times New Roman" w:hAnsi="Times New Roman" w:eastAsia="仿宋" w:cs="Times New Roman"/>
          <w:color w:val="auto"/>
          <w:spacing w:val="-16"/>
          <w:sz w:val="24"/>
          <w:szCs w:val="24"/>
          <w:highlight w:val="none"/>
        </w:rPr>
        <w:t>，</w:t>
      </w:r>
      <w:r>
        <w:rPr>
          <w:rFonts w:hint="default" w:ascii="Times New Roman" w:hAnsi="Times New Roman" w:cs="Times New Roman"/>
          <w:color w:val="auto"/>
          <w:spacing w:val="-16"/>
          <w:sz w:val="24"/>
          <w:szCs w:val="24"/>
          <w:highlight w:val="none"/>
          <w:lang w:val="en-US" w:eastAsia="zh-CN"/>
        </w:rPr>
        <w:t>其中5.21</w:t>
      </w:r>
      <w:r>
        <w:rPr>
          <w:rFonts w:hint="default" w:ascii="Times New Roman" w:hAnsi="Times New Roman" w:eastAsia="Times New Roman" w:cs="Times New Roman"/>
          <w:color w:val="auto"/>
          <w:sz w:val="24"/>
          <w:szCs w:val="24"/>
          <w:highlight w:val="none"/>
        </w:rPr>
        <w:t>hm</w:t>
      </w:r>
      <w:r>
        <w:rPr>
          <w:rFonts w:hint="default" w:ascii="Times New Roman" w:hAnsi="Times New Roman" w:eastAsia="Times New Roman" w:cs="Times New Roman"/>
          <w:color w:val="auto"/>
          <w:position w:val="10"/>
          <w:sz w:val="15"/>
          <w:szCs w:val="15"/>
          <w:highlight w:val="none"/>
        </w:rPr>
        <w:t>2</w:t>
      </w:r>
      <w:r>
        <w:rPr>
          <w:rFonts w:hint="default" w:ascii="Times New Roman" w:hAnsi="Times New Roman" w:eastAsia="Times New Roman" w:cs="Times New Roman"/>
          <w:color w:val="auto"/>
          <w:spacing w:val="-1"/>
          <w:position w:val="10"/>
          <w:sz w:val="15"/>
          <w:szCs w:val="15"/>
          <w:highlight w:val="none"/>
        </w:rPr>
        <w:t xml:space="preserve"> </w:t>
      </w:r>
      <w:r>
        <w:rPr>
          <w:rFonts w:hint="default" w:ascii="Times New Roman" w:hAnsi="Times New Roman" w:cs="Times New Roman"/>
          <w:color w:val="auto"/>
          <w:spacing w:val="-16"/>
          <w:sz w:val="24"/>
          <w:szCs w:val="24"/>
          <w:highlight w:val="none"/>
          <w:lang w:val="en-US" w:eastAsia="zh-CN"/>
        </w:rPr>
        <w:t>为永久占地，</w:t>
      </w:r>
      <w:r>
        <w:rPr>
          <w:rFonts w:hint="default" w:ascii="Times New Roman" w:hAnsi="Times New Roman" w:eastAsia="仿宋" w:cs="Times New Roman"/>
          <w:color w:val="auto"/>
          <w:sz w:val="24"/>
          <w:szCs w:val="24"/>
          <w:highlight w:val="none"/>
        </w:rPr>
        <w:t>较方案</w:t>
      </w:r>
      <w:r>
        <w:rPr>
          <w:rFonts w:hint="default" w:ascii="Times New Roman" w:hAnsi="Times New Roman" w:eastAsia="仿宋" w:cs="Times New Roman"/>
          <w:color w:val="auto"/>
          <w:spacing w:val="-16"/>
          <w:sz w:val="24"/>
          <w:szCs w:val="24"/>
          <w:highlight w:val="none"/>
        </w:rPr>
        <w:t>，</w:t>
      </w:r>
      <w:r>
        <w:rPr>
          <w:rFonts w:hint="default" w:ascii="Times New Roman" w:hAnsi="Times New Roman" w:eastAsia="仿宋" w:cs="Times New Roman"/>
          <w:color w:val="auto"/>
          <w:sz w:val="24"/>
          <w:szCs w:val="24"/>
          <w:highlight w:val="none"/>
        </w:rPr>
        <w:t>保持不变</w:t>
      </w:r>
      <w:r>
        <w:rPr>
          <w:rFonts w:hint="default" w:ascii="Times New Roman" w:hAnsi="Times New Roman" w:eastAsia="仿宋" w:cs="Times New Roman"/>
          <w:color w:val="auto"/>
          <w:spacing w:val="-16"/>
          <w:sz w:val="24"/>
          <w:szCs w:val="24"/>
          <w:highlight w:val="none"/>
        </w:rPr>
        <w:t>，</w:t>
      </w:r>
      <w:r>
        <w:rPr>
          <w:rFonts w:hint="default" w:ascii="Times New Roman" w:hAnsi="Times New Roman" w:eastAsia="仿宋" w:cs="Times New Roman"/>
          <w:color w:val="auto"/>
          <w:sz w:val="24"/>
          <w:szCs w:val="24"/>
          <w:highlight w:val="none"/>
        </w:rPr>
        <w:t>因此</w:t>
      </w:r>
      <w:r>
        <w:rPr>
          <w:rFonts w:hint="default" w:ascii="Times New Roman" w:hAnsi="Times New Roman" w:eastAsia="仿宋" w:cs="Times New Roman"/>
          <w:color w:val="auto"/>
          <w:spacing w:val="-16"/>
          <w:sz w:val="24"/>
          <w:szCs w:val="24"/>
          <w:highlight w:val="none"/>
        </w:rPr>
        <w:t>，</w:t>
      </w:r>
      <w:r>
        <w:rPr>
          <w:rFonts w:hint="default" w:ascii="Times New Roman" w:hAnsi="Times New Roman" w:eastAsia="仿宋" w:cs="Times New Roman"/>
          <w:color w:val="auto"/>
          <w:sz w:val="24"/>
          <w:szCs w:val="24"/>
          <w:highlight w:val="none"/>
        </w:rPr>
        <w:t>本项目实际缴纳水土保持设施补偿费</w:t>
      </w:r>
      <w:r>
        <w:rPr>
          <w:rFonts w:hint="default" w:ascii="Times New Roman" w:hAnsi="Times New Roman" w:eastAsia="仿宋" w:cs="Times New Roman"/>
          <w:color w:val="auto"/>
          <w:spacing w:val="-1"/>
          <w:sz w:val="24"/>
          <w:szCs w:val="24"/>
          <w:highlight w:val="none"/>
        </w:rPr>
        <w:t xml:space="preserve"> </w:t>
      </w:r>
      <w:r>
        <w:rPr>
          <w:rFonts w:hint="default" w:ascii="Times New Roman" w:hAnsi="Times New Roman" w:eastAsia="Times New Roman" w:cs="Times New Roman"/>
          <w:color w:val="auto"/>
          <w:sz w:val="24"/>
          <w:szCs w:val="24"/>
          <w:highlight w:val="none"/>
        </w:rPr>
        <w:t>7.</w:t>
      </w:r>
      <w:r>
        <w:rPr>
          <w:rFonts w:hint="default" w:ascii="Times New Roman" w:hAnsi="Times New Roman" w:eastAsia="宋体" w:cs="Times New Roman"/>
          <w:color w:val="auto"/>
          <w:sz w:val="24"/>
          <w:szCs w:val="24"/>
          <w:highlight w:val="none"/>
          <w:lang w:val="en-US" w:eastAsia="zh-CN"/>
        </w:rPr>
        <w:t>8</w:t>
      </w:r>
      <w:r>
        <w:rPr>
          <w:rFonts w:hint="default" w:ascii="Times New Roman" w:hAnsi="Times New Roman" w:eastAsia="Times New Roman" w:cs="Times New Roman"/>
          <w:color w:val="auto"/>
          <w:sz w:val="24"/>
          <w:szCs w:val="24"/>
          <w:highlight w:val="none"/>
        </w:rPr>
        <w:t xml:space="preserve">2 </w:t>
      </w:r>
      <w:r>
        <w:rPr>
          <w:rFonts w:hint="default" w:ascii="Times New Roman" w:hAnsi="Times New Roman" w:eastAsia="仿宋" w:cs="Times New Roman"/>
          <w:color w:val="auto"/>
          <w:sz w:val="24"/>
          <w:szCs w:val="24"/>
          <w:highlight w:val="none"/>
        </w:rPr>
        <w:t>万元</w:t>
      </w:r>
      <w:r>
        <w:rPr>
          <w:rFonts w:hint="default" w:ascii="Times New Roman" w:hAnsi="Times New Roman" w:eastAsia="仿宋" w:cs="Times New Roman"/>
          <w:color w:val="auto"/>
          <w:spacing w:val="-92"/>
          <w:sz w:val="24"/>
          <w:szCs w:val="24"/>
          <w:highlight w:val="none"/>
        </w:rPr>
        <w:t>。</w:t>
      </w:r>
    </w:p>
    <w:p>
      <w:pPr>
        <w:pStyle w:val="3"/>
        <w:bidi w:val="0"/>
        <w:rPr>
          <w:rFonts w:hint="default" w:ascii="Times New Roman" w:hAnsi="Times New Roman" w:cs="Times New Roman"/>
          <w:color w:val="auto"/>
          <w:highlight w:val="none"/>
        </w:rPr>
      </w:pPr>
      <w:bookmarkStart w:id="432" w:name="_Toc9427"/>
      <w:r>
        <w:rPr>
          <w:rFonts w:hint="default" w:ascii="Times New Roman" w:hAnsi="Times New Roman" w:cs="Times New Roman"/>
          <w:color w:val="auto"/>
          <w:highlight w:val="none"/>
        </w:rPr>
        <w:t>6.8  水土保持设施管理维护</w:t>
      </w:r>
      <w:bookmarkEnd w:id="432"/>
    </w:p>
    <w:p>
      <w:pPr>
        <w:pageBreakBefore w:val="0"/>
        <w:widowControl w:val="0"/>
        <w:kinsoku/>
        <w:wordWrap/>
        <w:overflowPunct/>
        <w:topLinePunct w:val="0"/>
        <w:autoSpaceDE/>
        <w:autoSpaceDN/>
        <w:bidi w:val="0"/>
        <w:adjustRightInd/>
        <w:snapToGrid/>
        <w:spacing w:before="78" w:line="360" w:lineRule="auto"/>
        <w:ind w:right="28" w:firstLine="472" w:firstLineChars="200"/>
        <w:textAlignment w:val="auto"/>
        <w:rPr>
          <w:rFonts w:hint="default" w:ascii="Times New Roman" w:hAnsi="Times New Roman" w:eastAsia="仿宋" w:cs="Times New Roman"/>
          <w:color w:val="auto"/>
          <w:spacing w:val="-58"/>
          <w:sz w:val="24"/>
          <w:szCs w:val="24"/>
          <w:highlight w:val="none"/>
        </w:rPr>
      </w:pPr>
      <w:r>
        <w:rPr>
          <w:rFonts w:hint="default" w:ascii="Times New Roman" w:hAnsi="Times New Roman" w:eastAsia="仿宋" w:cs="Times New Roman"/>
          <w:color w:val="auto"/>
          <w:spacing w:val="-2"/>
          <w:sz w:val="24"/>
          <w:szCs w:val="24"/>
          <w:highlight w:val="none"/>
        </w:rPr>
        <w:t>五矿有色控股铜铅锌产业基地铅改造</w:t>
      </w:r>
      <w:r>
        <w:rPr>
          <w:rFonts w:hint="default" w:ascii="Times New Roman" w:hAnsi="Times New Roman" w:eastAsia="仿宋" w:cs="Times New Roman"/>
          <w:color w:val="auto"/>
          <w:spacing w:val="-1"/>
          <w:sz w:val="24"/>
          <w:szCs w:val="24"/>
          <w:highlight w:val="none"/>
        </w:rPr>
        <w:t>及稀贵综合回收项目于</w:t>
      </w:r>
      <w:r>
        <w:rPr>
          <w:rFonts w:hint="default" w:ascii="Times New Roman" w:hAnsi="Times New Roman" w:eastAsia="仿宋" w:cs="Times New Roman"/>
          <w:color w:val="auto"/>
          <w:spacing w:val="-43"/>
          <w:sz w:val="24"/>
          <w:szCs w:val="24"/>
          <w:highlight w:val="none"/>
        </w:rPr>
        <w:t xml:space="preserve"> </w:t>
      </w:r>
      <w:r>
        <w:rPr>
          <w:rFonts w:hint="default" w:ascii="Times New Roman" w:hAnsi="Times New Roman" w:eastAsia="Times New Roman" w:cs="Times New Roman"/>
          <w:color w:val="auto"/>
          <w:spacing w:val="-1"/>
          <w:sz w:val="24"/>
          <w:szCs w:val="24"/>
          <w:highlight w:val="none"/>
        </w:rPr>
        <w:t>201</w:t>
      </w:r>
      <w:r>
        <w:rPr>
          <w:rFonts w:hint="default" w:ascii="Times New Roman" w:hAnsi="Times New Roman" w:eastAsia="宋体" w:cs="Times New Roman"/>
          <w:color w:val="auto"/>
          <w:spacing w:val="-1"/>
          <w:sz w:val="24"/>
          <w:szCs w:val="24"/>
          <w:highlight w:val="none"/>
          <w:lang w:val="en-US" w:eastAsia="zh-CN"/>
        </w:rPr>
        <w:t>6</w:t>
      </w:r>
      <w:r>
        <w:rPr>
          <w:rFonts w:hint="default" w:ascii="Times New Roman" w:hAnsi="Times New Roman" w:eastAsia="仿宋" w:cs="Times New Roman"/>
          <w:color w:val="auto"/>
          <w:spacing w:val="-1"/>
          <w:sz w:val="24"/>
          <w:szCs w:val="24"/>
          <w:highlight w:val="none"/>
        </w:rPr>
        <w:t>年</w:t>
      </w:r>
      <w:r>
        <w:rPr>
          <w:rFonts w:hint="default" w:ascii="Times New Roman" w:hAnsi="Times New Roman" w:eastAsia="仿宋" w:cs="Times New Roman"/>
          <w:color w:val="auto"/>
          <w:spacing w:val="-43"/>
          <w:sz w:val="24"/>
          <w:szCs w:val="24"/>
          <w:highlight w:val="none"/>
        </w:rPr>
        <w:t xml:space="preserve"> </w:t>
      </w:r>
      <w:r>
        <w:rPr>
          <w:rFonts w:hint="default" w:ascii="Times New Roman" w:hAnsi="Times New Roman" w:eastAsia="宋体" w:cs="Times New Roman"/>
          <w:color w:val="auto"/>
          <w:spacing w:val="-1"/>
          <w:sz w:val="24"/>
          <w:szCs w:val="24"/>
          <w:highlight w:val="none"/>
          <w:lang w:val="en-US" w:eastAsia="zh-CN"/>
        </w:rPr>
        <w:t>10</w:t>
      </w:r>
      <w:r>
        <w:rPr>
          <w:rFonts w:hint="default" w:ascii="Times New Roman" w:hAnsi="Times New Roman" w:eastAsia="仿宋" w:cs="Times New Roman"/>
          <w:color w:val="auto"/>
          <w:spacing w:val="-1"/>
          <w:sz w:val="24"/>
          <w:szCs w:val="24"/>
          <w:highlight w:val="none"/>
        </w:rPr>
        <w:t>月开工</w:t>
      </w:r>
      <w:r>
        <w:rPr>
          <w:rFonts w:hint="default" w:ascii="Times New Roman" w:hAnsi="Times New Roman" w:eastAsia="仿宋" w:cs="Times New Roman"/>
          <w:color w:val="auto"/>
          <w:spacing w:val="-122"/>
          <w:sz w:val="24"/>
          <w:szCs w:val="24"/>
          <w:highlight w:val="none"/>
        </w:rPr>
        <w:t>，</w:t>
      </w:r>
      <w:r>
        <w:rPr>
          <w:rFonts w:hint="default" w:ascii="Times New Roman" w:hAnsi="Times New Roman" w:eastAsia="Times New Roman" w:cs="Times New Roman"/>
          <w:color w:val="auto"/>
          <w:spacing w:val="-1"/>
          <w:sz w:val="24"/>
          <w:szCs w:val="24"/>
          <w:highlight w:val="none"/>
        </w:rPr>
        <w:t>20</w:t>
      </w:r>
      <w:r>
        <w:rPr>
          <w:rFonts w:hint="default" w:ascii="Times New Roman" w:hAnsi="Times New Roman" w:eastAsia="宋体" w:cs="Times New Roman"/>
          <w:color w:val="auto"/>
          <w:spacing w:val="-1"/>
          <w:sz w:val="24"/>
          <w:szCs w:val="24"/>
          <w:highlight w:val="none"/>
          <w:lang w:val="en-US" w:eastAsia="zh-CN"/>
        </w:rPr>
        <w:t>17</w:t>
      </w:r>
      <w:r>
        <w:rPr>
          <w:rFonts w:hint="default" w:ascii="Times New Roman" w:hAnsi="Times New Roman" w:eastAsia="仿宋" w:cs="Times New Roman"/>
          <w:color w:val="auto"/>
          <w:sz w:val="24"/>
          <w:szCs w:val="24"/>
          <w:highlight w:val="none"/>
        </w:rPr>
        <w:t>年</w:t>
      </w:r>
      <w:r>
        <w:rPr>
          <w:rFonts w:hint="default" w:ascii="Times New Roman" w:hAnsi="Times New Roman" w:eastAsia="仿宋" w:cs="Times New Roman"/>
          <w:color w:val="auto"/>
          <w:spacing w:val="-1"/>
          <w:sz w:val="24"/>
          <w:szCs w:val="24"/>
          <w:highlight w:val="none"/>
        </w:rPr>
        <w:t xml:space="preserve"> </w:t>
      </w:r>
      <w:r>
        <w:rPr>
          <w:rFonts w:hint="default" w:ascii="Times New Roman" w:hAnsi="Times New Roman" w:eastAsia="Times New Roman" w:cs="Times New Roman"/>
          <w:color w:val="auto"/>
          <w:sz w:val="24"/>
          <w:szCs w:val="24"/>
          <w:highlight w:val="none"/>
        </w:rPr>
        <w:t xml:space="preserve">6 </w:t>
      </w:r>
      <w:r>
        <w:rPr>
          <w:rFonts w:hint="default" w:ascii="Times New Roman" w:hAnsi="Times New Roman" w:eastAsia="仿宋" w:cs="Times New Roman"/>
          <w:color w:val="auto"/>
          <w:sz w:val="24"/>
          <w:szCs w:val="24"/>
          <w:highlight w:val="none"/>
        </w:rPr>
        <w:t>月底完工</w:t>
      </w:r>
      <w:r>
        <w:rPr>
          <w:rFonts w:hint="default" w:ascii="Times New Roman" w:hAnsi="Times New Roman" w:eastAsia="仿宋" w:cs="Times New Roman"/>
          <w:color w:val="auto"/>
          <w:spacing w:val="-39"/>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水土保持各项治理措施已完成</w:t>
      </w:r>
      <w:r>
        <w:rPr>
          <w:rFonts w:hint="default" w:ascii="Times New Roman" w:hAnsi="Times New Roman" w:eastAsia="仿宋" w:cs="Times New Roman"/>
          <w:color w:val="auto"/>
          <w:spacing w:val="-39"/>
          <w:sz w:val="24"/>
          <w:szCs w:val="24"/>
          <w:highlight w:val="none"/>
        </w:rPr>
        <w:t>。</w:t>
      </w:r>
      <w:r>
        <w:rPr>
          <w:rFonts w:hint="default" w:ascii="Times New Roman" w:hAnsi="Times New Roman" w:eastAsia="仿宋" w:cs="Times New Roman"/>
          <w:color w:val="auto"/>
          <w:sz w:val="24"/>
          <w:szCs w:val="24"/>
          <w:highlight w:val="none"/>
        </w:rPr>
        <w:t>本工程投产运行后</w:t>
      </w:r>
      <w:r>
        <w:rPr>
          <w:rFonts w:hint="default" w:ascii="Times New Roman" w:hAnsi="Times New Roman" w:eastAsia="仿宋" w:cs="Times New Roman"/>
          <w:color w:val="auto"/>
          <w:spacing w:val="-39"/>
          <w:sz w:val="24"/>
          <w:szCs w:val="24"/>
          <w:highlight w:val="none"/>
        </w:rPr>
        <w:t>，</w:t>
      </w:r>
      <w:r>
        <w:rPr>
          <w:rFonts w:hint="default" w:ascii="Times New Roman" w:hAnsi="Times New Roman" w:eastAsia="仿宋" w:cs="Times New Roman"/>
          <w:color w:val="auto"/>
          <w:spacing w:val="-120"/>
          <w:sz w:val="24"/>
          <w:szCs w:val="24"/>
          <w:highlight w:val="none"/>
        </w:rPr>
        <w:t xml:space="preserve"> </w:t>
      </w:r>
      <w:r>
        <w:rPr>
          <w:rFonts w:hint="default" w:ascii="Times New Roman" w:hAnsi="Times New Roman" w:eastAsia="仿宋" w:cs="Times New Roman"/>
          <w:color w:val="auto"/>
          <w:sz w:val="24"/>
          <w:szCs w:val="24"/>
          <w:highlight w:val="none"/>
        </w:rPr>
        <w:t>由</w:t>
      </w:r>
      <w:r>
        <w:rPr>
          <w:rFonts w:hint="default" w:ascii="Times New Roman" w:hAnsi="Times New Roman" w:cs="Times New Roman"/>
          <w:color w:val="auto"/>
          <w:sz w:val="24"/>
          <w:szCs w:val="24"/>
          <w:highlight w:val="none"/>
          <w:lang w:val="en-US" w:eastAsia="zh-CN"/>
        </w:rPr>
        <w:t>衡阳市城市建设</w:t>
      </w:r>
      <w:r>
        <w:rPr>
          <w:rFonts w:hint="default" w:ascii="Times New Roman" w:hAnsi="Times New Roman" w:eastAsia="仿宋" w:cs="Times New Roman"/>
          <w:color w:val="auto"/>
          <w:sz w:val="24"/>
          <w:szCs w:val="24"/>
          <w:highlight w:val="none"/>
        </w:rPr>
        <w:t>有限公司对</w:t>
      </w:r>
      <w:r>
        <w:rPr>
          <w:rFonts w:hint="default" w:ascii="Times New Roman" w:hAnsi="Times New Roman" w:cs="Times New Roman"/>
          <w:color w:val="auto"/>
          <w:sz w:val="24"/>
          <w:szCs w:val="24"/>
          <w:highlight w:val="none"/>
          <w:lang w:val="en-US" w:eastAsia="zh-CN"/>
        </w:rPr>
        <w:t>水保环境</w:t>
      </w:r>
      <w:r>
        <w:rPr>
          <w:rFonts w:hint="default" w:ascii="Times New Roman" w:hAnsi="Times New Roman" w:eastAsia="仿宋" w:cs="Times New Roman"/>
          <w:color w:val="auto"/>
          <w:sz w:val="24"/>
          <w:szCs w:val="24"/>
          <w:highlight w:val="none"/>
        </w:rPr>
        <w:t>的运行和维护进行管理</w:t>
      </w:r>
      <w:r>
        <w:rPr>
          <w:rFonts w:hint="default" w:ascii="Times New Roman" w:hAnsi="Times New Roman" w:eastAsia="仿宋" w:cs="Times New Roman"/>
          <w:color w:val="auto"/>
          <w:spacing w:val="-58"/>
          <w:sz w:val="24"/>
          <w:szCs w:val="24"/>
          <w:highlight w:val="none"/>
        </w:rPr>
        <w:t>。</w:t>
      </w:r>
    </w:p>
    <w:p>
      <w:pPr>
        <w:pStyle w:val="2"/>
        <w:pageBreakBefore w:val="0"/>
        <w:widowControl w:val="0"/>
        <w:kinsoku/>
        <w:wordWrap/>
        <w:overflowPunct/>
        <w:topLinePunct w:val="0"/>
        <w:autoSpaceDE/>
        <w:autoSpaceDN/>
        <w:bidi w:val="0"/>
        <w:adjustRightInd/>
        <w:snapToGrid/>
        <w:spacing w:line="360" w:lineRule="auto"/>
        <w:ind w:firstLine="640" w:firstLineChars="200"/>
        <w:textAlignment w:val="auto"/>
        <w:rPr>
          <w:rFonts w:hint="default" w:ascii="Times New Roman" w:hAnsi="Times New Roman" w:cs="Times New Roman"/>
          <w:color w:val="auto"/>
          <w:highlight w:val="none"/>
          <w:lang w:val="en-US" w:eastAsia="zh-CN"/>
        </w:rPr>
        <w:sectPr>
          <w:headerReference r:id="rId32" w:type="default"/>
          <w:pgSz w:w="11906" w:h="16838"/>
          <w:pgMar w:top="1440" w:right="1440" w:bottom="1440" w:left="1440" w:header="851" w:footer="992" w:gutter="0"/>
          <w:pgNumType w:fmt="decimal"/>
          <w:cols w:space="425" w:num="1"/>
          <w:docGrid w:type="lines" w:linePitch="312" w:charSpace="0"/>
        </w:sectPr>
      </w:pPr>
    </w:p>
    <w:p>
      <w:pPr>
        <w:pStyle w:val="2"/>
        <w:bidi w:val="0"/>
        <w:rPr>
          <w:rFonts w:hint="default" w:ascii="Times New Roman" w:hAnsi="Times New Roman" w:cs="Times New Roman"/>
          <w:color w:val="auto"/>
          <w:highlight w:val="none"/>
          <w:lang w:val="en-US" w:eastAsia="zh-CN"/>
        </w:rPr>
      </w:pPr>
      <w:bookmarkStart w:id="433" w:name="_Toc8384"/>
      <w:r>
        <w:rPr>
          <w:rFonts w:hint="default" w:ascii="Times New Roman" w:hAnsi="Times New Roman" w:cs="Times New Roman"/>
          <w:color w:val="auto"/>
          <w:highlight w:val="none"/>
          <w:lang w:val="en-US" w:eastAsia="zh-CN"/>
        </w:rPr>
        <w:t>7 结论</w:t>
      </w:r>
      <w:bookmarkEnd w:id="433"/>
    </w:p>
    <w:p>
      <w:pPr>
        <w:pStyle w:val="3"/>
        <w:bidi w:val="0"/>
        <w:rPr>
          <w:rFonts w:hint="default" w:ascii="Times New Roman" w:hAnsi="Times New Roman" w:cs="Times New Roman"/>
          <w:color w:val="auto"/>
          <w:highlight w:val="none"/>
          <w:lang w:val="en-US" w:eastAsia="zh-CN"/>
        </w:rPr>
      </w:pPr>
      <w:bookmarkStart w:id="434" w:name="_Toc18333"/>
      <w:r>
        <w:rPr>
          <w:rFonts w:hint="default" w:ascii="Times New Roman" w:hAnsi="Times New Roman" w:cs="Times New Roman"/>
          <w:color w:val="auto"/>
          <w:highlight w:val="none"/>
          <w:lang w:val="en-US" w:eastAsia="zh-CN"/>
        </w:rPr>
        <w:t>7.1 水土保持措施评价</w:t>
      </w:r>
      <w:bookmarkEnd w:id="434"/>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在施工过程中比较重视水土保持工作，能够认真及时落实各项水土保持防治措施，特别是能够及时实施临时措施，工程措施与主体工程同步实施，施工结束后及时进行绿化、土地整治，整体上取得了较好的防治效果。</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本工程在施工中，基本能够按照水土保持方案布设的水土保持措施及相关法律法规实施水土保持防治措施，质量达标。水土保持措施建设与主体工程实现了“三同时”原则。</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各项水土保持措施布局基本合理，防治效果效果明显。原报告制定的六项指标值均达到水土保持方案预定的目标值。</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rPr>
        <w:t>由于报告编制时，工程处于可研阶段，设计的各项水保措施在后期施工中有所变更，相应的防治措施的实施的工程量与方案设计的相比，个别防治措施与工程量有</w:t>
      </w:r>
      <w:r>
        <w:rPr>
          <w:rFonts w:hint="default" w:ascii="Times New Roman" w:hAnsi="Times New Roman" w:cs="Times New Roman"/>
          <w:color w:val="auto"/>
          <w:highlight w:val="none"/>
          <w:lang w:val="en-US" w:eastAsia="zh-CN"/>
        </w:rPr>
        <w:t>所变化。</w:t>
      </w:r>
    </w:p>
    <w:p>
      <w:pPr>
        <w:pStyle w:val="3"/>
        <w:bidi w:val="0"/>
        <w:rPr>
          <w:rFonts w:hint="default" w:ascii="Times New Roman" w:hAnsi="Times New Roman" w:cs="Times New Roman"/>
          <w:color w:val="auto"/>
          <w:highlight w:val="none"/>
          <w:lang w:val="en-US" w:eastAsia="zh-CN"/>
        </w:rPr>
      </w:pPr>
      <w:bookmarkStart w:id="435" w:name="_Toc2888"/>
      <w:r>
        <w:rPr>
          <w:rFonts w:hint="default" w:ascii="Times New Roman" w:hAnsi="Times New Roman" w:cs="Times New Roman"/>
          <w:color w:val="auto"/>
          <w:highlight w:val="none"/>
          <w:lang w:val="en-US" w:eastAsia="zh-CN"/>
        </w:rPr>
        <w:t>7.2 存在的问题与建议</w:t>
      </w:r>
      <w:bookmarkEnd w:id="435"/>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本工程目前已经进入试运行阶段，经监测期实际调查，现阶段仍存在的一些问题，针对部分问题提出以下建议：</w:t>
      </w:r>
    </w:p>
    <w:p>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虽然目前项目建设已经全部结束，工程进入试运行阶段，但部分绿化工程实施不完善，部分地段长势较差，建议运行管理单位加强植物措施维护抚育工作，使其更好的发挥其水土保持功能。</w:t>
      </w:r>
    </w:p>
    <w:p>
      <w:pPr>
        <w:pStyle w:val="23"/>
        <w:keepNext w:val="0"/>
        <w:keepLines w:val="0"/>
        <w:pageBreakBefore w:val="0"/>
        <w:widowControl w:val="0"/>
        <w:numPr>
          <w:ilvl w:val="0"/>
          <w:numId w:val="17"/>
        </w:numPr>
        <w:tabs>
          <w:tab w:val="left" w:pos="1326"/>
        </w:tabs>
        <w:kinsoku/>
        <w:wordWrap/>
        <w:overflowPunct/>
        <w:topLinePunct w:val="0"/>
        <w:autoSpaceDE/>
        <w:autoSpaceDN/>
        <w:bidi w:val="0"/>
        <w:adjustRightInd/>
        <w:snapToGrid/>
        <w:spacing w:before="0" w:after="0" w:line="360" w:lineRule="auto"/>
        <w:ind w:left="0" w:leftChars="0" w:right="833" w:rightChars="0" w:firstLine="480" w:firstLineChars="200"/>
        <w:jc w:val="left"/>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建议建设单位及时完善水土保持工程相关资料的归档和整理，做好水土保持设施验收准备。</w:t>
      </w:r>
    </w:p>
    <w:p>
      <w:pPr>
        <w:keepNext w:val="0"/>
        <w:keepLines w:val="0"/>
        <w:pageBreakBefore w:val="0"/>
        <w:widowControl w:val="0"/>
        <w:numPr>
          <w:ilvl w:val="0"/>
          <w:numId w:val="17"/>
        </w:numPr>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建议制定排水沟清淤计划，定期对场内排水沟进行清淤；</w:t>
      </w:r>
    </w:p>
    <w:p>
      <w:pPr>
        <w:pStyle w:val="3"/>
        <w:bidi w:val="0"/>
        <w:rPr>
          <w:rFonts w:hint="default" w:ascii="Times New Roman" w:hAnsi="Times New Roman" w:cs="Times New Roman"/>
          <w:color w:val="auto"/>
          <w:highlight w:val="none"/>
          <w:lang w:val="en-US" w:eastAsia="zh-CN"/>
        </w:rPr>
      </w:pPr>
      <w:bookmarkStart w:id="436" w:name="_Toc16112"/>
      <w:r>
        <w:rPr>
          <w:rFonts w:hint="default" w:ascii="Times New Roman" w:hAnsi="Times New Roman" w:cs="Times New Roman"/>
          <w:color w:val="auto"/>
          <w:highlight w:val="none"/>
          <w:lang w:val="en-US" w:eastAsia="zh-CN"/>
        </w:rPr>
        <w:t>7.3 综合结论</w:t>
      </w:r>
      <w:bookmarkEnd w:id="436"/>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通过监测期的现场查勘及调查结果并结合施工资料分析表明，建设单位比较重视水土保持工作，按照水土保持法律法规的规定，依法委托编报了水土保持方案，落实了水土保持工程设计。将水土保持工程建设和管理纳入工作程序中，在工程建设过程中落实了项目法人、设计单位、施工单位、监理单位的水土保持职责人，强化了对水土保持工程的管理，实行“项目法人对国家负责，监理单位质量控制，施工单位质量保证， 政府监督”的质量管理体系，确保了水土保持方案的顺利实施。</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本工程沿线水土保持措施布局合理，数量和质量基本达到了保持方案报告书的设计要求。植物措施实施后植被生长情况良好，工程措施无损坏，能起到较好的水土流失防治作用。</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项目建设扰动区经过工程措施、植物措施的实施，水土流失面积和水土流失</w:t>
      </w:r>
      <w:r>
        <w:rPr>
          <w:rFonts w:hint="default" w:ascii="Times New Roman" w:hAnsi="Times New Roman" w:cs="Times New Roman"/>
          <w:color w:val="auto"/>
          <w:spacing w:val="-6"/>
          <w:sz w:val="24"/>
          <w:highlight w:val="none"/>
        </w:rPr>
        <w:t>强度都逐年递减。项目区的水土流失强度由施工中的中度下降到轻度、微度，有效的将</w:t>
      </w:r>
      <w:r>
        <w:rPr>
          <w:rFonts w:hint="default" w:ascii="Times New Roman" w:hAnsi="Times New Roman" w:cs="Times New Roman"/>
          <w:color w:val="auto"/>
          <w:sz w:val="24"/>
          <w:highlight w:val="none"/>
        </w:rPr>
        <w:t>水土流失控制在较低的范围内。</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sz w:val="24"/>
          <w:highlight w:val="none"/>
        </w:rPr>
      </w:pPr>
      <w:r>
        <w:rPr>
          <w:rFonts w:hint="default" w:ascii="Times New Roman" w:hAnsi="Times New Roman" w:cs="Times New Roman"/>
          <w:color w:val="auto"/>
          <w:sz w:val="24"/>
          <w:highlight w:val="none"/>
        </w:rPr>
        <w:t>项目在建设中施工区安排合理、紧凑，施工工艺进行优化，并采取相应的水土保持防护措施，使扰动面积相应减少，从而减少了水土流失。</w:t>
      </w:r>
    </w:p>
    <w:p>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default" w:ascii="Times New Roman" w:hAnsi="Times New Roman" w:cs="Times New Roman"/>
          <w:color w:val="auto"/>
          <w:highlight w:val="none"/>
        </w:rPr>
      </w:pPr>
      <w:r>
        <w:rPr>
          <w:rFonts w:hint="default" w:ascii="Times New Roman" w:hAnsi="Times New Roman" w:cs="Times New Roman"/>
          <w:color w:val="auto"/>
          <w:highlight w:val="none"/>
        </w:rPr>
        <w:t>综上所述，本工程在项目建设中水土保持措施总体布局合理，防护效果明显，各项水土流失防治指标均达到水土保持方案设计的目标值，有效的控制了水土流失，保障了主体工程的顺利施工与安全运营。</w:t>
      </w:r>
    </w:p>
    <w:p>
      <w:pPr>
        <w:pStyle w:val="2"/>
        <w:numPr>
          <w:ilvl w:val="0"/>
          <w:numId w:val="0"/>
        </w:numPr>
        <w:bidi w:val="0"/>
        <w:rPr>
          <w:rFonts w:hint="eastAsia"/>
          <w:color w:val="auto"/>
          <w:highlight w:val="none"/>
          <w:lang w:val="en-US" w:eastAsia="zh-CN"/>
        </w:rPr>
        <w:sectPr>
          <w:headerReference r:id="rId33" w:type="default"/>
          <w:pgSz w:w="11906" w:h="16838"/>
          <w:pgMar w:top="1440" w:right="1440" w:bottom="1440" w:left="1440" w:header="851" w:footer="992" w:gutter="0"/>
          <w:pgNumType w:fmt="decimal"/>
          <w:cols w:space="425" w:num="1"/>
          <w:docGrid w:type="lines" w:linePitch="312" w:charSpace="0"/>
        </w:sectPr>
      </w:pPr>
    </w:p>
    <w:p>
      <w:pPr>
        <w:pStyle w:val="2"/>
        <w:numPr>
          <w:ilvl w:val="0"/>
          <w:numId w:val="0"/>
        </w:numPr>
        <w:bidi w:val="0"/>
        <w:rPr>
          <w:rFonts w:hint="eastAsia"/>
          <w:color w:val="auto"/>
          <w:highlight w:val="none"/>
          <w:lang w:val="en-US" w:eastAsia="zh-CN"/>
        </w:rPr>
      </w:pPr>
      <w:bookmarkStart w:id="437" w:name="_Toc29108"/>
      <w:r>
        <w:rPr>
          <w:rFonts w:hint="eastAsia"/>
          <w:color w:val="auto"/>
          <w:highlight w:val="none"/>
          <w:lang w:val="en-US" w:eastAsia="zh-CN"/>
        </w:rPr>
        <w:t>8、附件及附图</w:t>
      </w:r>
      <w:bookmarkEnd w:id="437"/>
    </w:p>
    <w:p>
      <w:pPr>
        <w:pStyle w:val="3"/>
        <w:bidi w:val="0"/>
        <w:rPr>
          <w:rFonts w:hint="eastAsia"/>
          <w:color w:val="auto"/>
          <w:highlight w:val="none"/>
          <w:lang w:val="en-US" w:eastAsia="zh-CN"/>
        </w:rPr>
      </w:pPr>
      <w:bookmarkStart w:id="438" w:name="_Toc21283"/>
      <w:r>
        <w:rPr>
          <w:rFonts w:hint="eastAsia"/>
          <w:color w:val="auto"/>
          <w:highlight w:val="none"/>
          <w:lang w:val="en-US" w:eastAsia="zh-CN"/>
        </w:rPr>
        <w:t>8.1附件</w:t>
      </w:r>
      <w:bookmarkEnd w:id="438"/>
    </w:p>
    <w:p>
      <w:pPr>
        <w:numPr>
          <w:ilvl w:val="0"/>
          <w:numId w:val="0"/>
        </w:numPr>
        <w:rPr>
          <w:rFonts w:hint="eastAsia"/>
          <w:color w:val="auto"/>
          <w:highlight w:val="none"/>
          <w:lang w:val="en-US" w:eastAsia="zh-CN"/>
        </w:rPr>
      </w:pPr>
      <w:r>
        <w:rPr>
          <w:rFonts w:hint="default" w:ascii="Times New Roman" w:hAnsi="Times New Roman" w:cs="Times New Roman"/>
          <w:color w:val="auto"/>
          <w:highlight w:val="none"/>
          <w:lang w:val="en-US" w:eastAsia="zh-CN"/>
        </w:rPr>
        <w:drawing>
          <wp:inline distT="0" distB="0" distL="114300" distR="114300">
            <wp:extent cx="5504180" cy="7164705"/>
            <wp:effectExtent l="0" t="0" r="1270" b="17145"/>
            <wp:docPr id="76" name="图片 76" descr="QQ图片20211223104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 name="图片 76" descr="QQ图片20211223104830"/>
                    <pic:cNvPicPr>
                      <a:picLocks noChangeAspect="1"/>
                    </pic:cNvPicPr>
                  </pic:nvPicPr>
                  <pic:blipFill>
                    <a:blip r:embed="rId53"/>
                    <a:stretch>
                      <a:fillRect/>
                    </a:stretch>
                  </pic:blipFill>
                  <pic:spPr>
                    <a:xfrm>
                      <a:off x="0" y="0"/>
                      <a:ext cx="5504180" cy="7164705"/>
                    </a:xfrm>
                    <a:prstGeom prst="rect">
                      <a:avLst/>
                    </a:prstGeom>
                  </pic:spPr>
                </pic:pic>
              </a:graphicData>
            </a:graphic>
          </wp:inline>
        </w:drawing>
      </w:r>
    </w:p>
    <w:p>
      <w:pPr>
        <w:numPr>
          <w:ilvl w:val="0"/>
          <w:numId w:val="0"/>
        </w:numPr>
        <w:rPr>
          <w:rFonts w:hint="default"/>
          <w:color w:val="auto"/>
          <w:highlight w:val="none"/>
          <w:lang w:val="en-US" w:eastAsia="zh-CN"/>
        </w:rPr>
      </w:pPr>
    </w:p>
    <w:p>
      <w:pPr>
        <w:numPr>
          <w:ilvl w:val="0"/>
          <w:numId w:val="0"/>
        </w:numPr>
        <w:rPr>
          <w:rFonts w:hint="default"/>
          <w:color w:val="auto"/>
          <w:highlight w:val="none"/>
          <w:lang w:val="en-US" w:eastAsia="zh-CN"/>
        </w:rPr>
      </w:pPr>
    </w:p>
    <w:p>
      <w:pPr>
        <w:numPr>
          <w:ilvl w:val="0"/>
          <w:numId w:val="0"/>
        </w:numPr>
        <w:rPr>
          <w:rFonts w:hint="default"/>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drawing>
          <wp:inline distT="0" distB="0" distL="114300" distR="114300">
            <wp:extent cx="5352415" cy="7924800"/>
            <wp:effectExtent l="0" t="0" r="635" b="0"/>
            <wp:docPr id="77" name="图片 77" descr="QQ图片202112231048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 name="图片 77" descr="QQ图片20211223104851"/>
                    <pic:cNvPicPr>
                      <a:picLocks noChangeAspect="1"/>
                    </pic:cNvPicPr>
                  </pic:nvPicPr>
                  <pic:blipFill>
                    <a:blip r:embed="rId54"/>
                    <a:stretch>
                      <a:fillRect/>
                    </a:stretch>
                  </pic:blipFill>
                  <pic:spPr>
                    <a:xfrm>
                      <a:off x="0" y="0"/>
                      <a:ext cx="5352415" cy="7924800"/>
                    </a:xfrm>
                    <a:prstGeom prst="rect">
                      <a:avLst/>
                    </a:prstGeom>
                  </pic:spPr>
                </pic:pic>
              </a:graphicData>
            </a:graphic>
          </wp:inline>
        </w:drawing>
      </w: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drawing>
          <wp:inline distT="0" distB="0" distL="114300" distR="114300">
            <wp:extent cx="5638165" cy="7581900"/>
            <wp:effectExtent l="0" t="0" r="635" b="0"/>
            <wp:docPr id="78" name="图片 78" descr="QQ图片20211223104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8" name="图片 78" descr="QQ图片20211223104901"/>
                    <pic:cNvPicPr>
                      <a:picLocks noChangeAspect="1"/>
                    </pic:cNvPicPr>
                  </pic:nvPicPr>
                  <pic:blipFill>
                    <a:blip r:embed="rId55"/>
                    <a:stretch>
                      <a:fillRect/>
                    </a:stretch>
                  </pic:blipFill>
                  <pic:spPr>
                    <a:xfrm>
                      <a:off x="0" y="0"/>
                      <a:ext cx="5638165" cy="7581900"/>
                    </a:xfrm>
                    <a:prstGeom prst="rect">
                      <a:avLst/>
                    </a:prstGeom>
                  </pic:spPr>
                </pic:pic>
              </a:graphicData>
            </a:graphic>
          </wp:inline>
        </w:drawing>
      </w: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r>
        <w:rPr>
          <w:rFonts w:hint="default" w:ascii="Times New Roman" w:hAnsi="Times New Roman" w:cs="Times New Roman"/>
          <w:color w:val="auto"/>
          <w:highlight w:val="none"/>
          <w:lang w:val="en-US" w:eastAsia="zh-CN"/>
        </w:rPr>
        <w:drawing>
          <wp:inline distT="0" distB="0" distL="114300" distR="114300">
            <wp:extent cx="5838190" cy="8173085"/>
            <wp:effectExtent l="0" t="0" r="10160" b="18415"/>
            <wp:docPr id="79" name="图片 79" descr="QQ图片202112231049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 name="图片 79" descr="QQ图片20211223104906"/>
                    <pic:cNvPicPr>
                      <a:picLocks noChangeAspect="1"/>
                    </pic:cNvPicPr>
                  </pic:nvPicPr>
                  <pic:blipFill>
                    <a:blip r:embed="rId56"/>
                    <a:stretch>
                      <a:fillRect/>
                    </a:stretch>
                  </pic:blipFill>
                  <pic:spPr>
                    <a:xfrm>
                      <a:off x="0" y="0"/>
                      <a:ext cx="5838190" cy="8173085"/>
                    </a:xfrm>
                    <a:prstGeom prst="rect">
                      <a:avLst/>
                    </a:prstGeom>
                  </pic:spPr>
                </pic:pic>
              </a:graphicData>
            </a:graphic>
          </wp:inline>
        </w:drawing>
      </w: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r>
        <w:rPr>
          <w:rFonts w:ascii="宋体" w:hAnsi="宋体" w:eastAsia="宋体" w:cs="宋体"/>
          <w:color w:val="auto"/>
          <w:sz w:val="24"/>
          <w:szCs w:val="24"/>
          <w:highlight w:val="none"/>
        </w:rPr>
        <w:drawing>
          <wp:inline distT="0" distB="0" distL="114300" distR="114300">
            <wp:extent cx="5495925" cy="7610475"/>
            <wp:effectExtent l="0" t="0" r="9525" b="9525"/>
            <wp:docPr id="80"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 name="图片 1" descr="IMG_256"/>
                    <pic:cNvPicPr>
                      <a:picLocks noChangeAspect="1"/>
                    </pic:cNvPicPr>
                  </pic:nvPicPr>
                  <pic:blipFill>
                    <a:blip r:embed="rId69"/>
                    <a:stretch>
                      <a:fillRect/>
                    </a:stretch>
                  </pic:blipFill>
                  <pic:spPr>
                    <a:xfrm>
                      <a:off x="0" y="0"/>
                      <a:ext cx="5495925" cy="7610475"/>
                    </a:xfrm>
                    <a:prstGeom prst="rect">
                      <a:avLst/>
                    </a:prstGeom>
                    <a:noFill/>
                    <a:ln w="9525">
                      <a:noFill/>
                    </a:ln>
                  </pic:spPr>
                </pic:pic>
              </a:graphicData>
            </a:graphic>
          </wp:inline>
        </w:drawing>
      </w: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r>
        <w:rPr>
          <w:rFonts w:ascii="宋体" w:hAnsi="宋体" w:eastAsia="宋体" w:cs="宋体"/>
          <w:color w:val="auto"/>
          <w:sz w:val="24"/>
          <w:szCs w:val="24"/>
          <w:highlight w:val="none"/>
        </w:rPr>
        <w:drawing>
          <wp:inline distT="0" distB="0" distL="114300" distR="114300">
            <wp:extent cx="4781550" cy="7229475"/>
            <wp:effectExtent l="0" t="0" r="0" b="9525"/>
            <wp:docPr id="81"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1" name="图片 2" descr="IMG_256"/>
                    <pic:cNvPicPr>
                      <a:picLocks noChangeAspect="1"/>
                    </pic:cNvPicPr>
                  </pic:nvPicPr>
                  <pic:blipFill>
                    <a:blip r:embed="rId70"/>
                    <a:stretch>
                      <a:fillRect/>
                    </a:stretch>
                  </pic:blipFill>
                  <pic:spPr>
                    <a:xfrm>
                      <a:off x="0" y="0"/>
                      <a:ext cx="4781550" cy="7229475"/>
                    </a:xfrm>
                    <a:prstGeom prst="rect">
                      <a:avLst/>
                    </a:prstGeom>
                    <a:noFill/>
                    <a:ln w="9525">
                      <a:noFill/>
                    </a:ln>
                  </pic:spPr>
                </pic:pic>
              </a:graphicData>
            </a:graphic>
          </wp:inline>
        </w:drawing>
      </w: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numPr>
          <w:ilvl w:val="0"/>
          <w:numId w:val="0"/>
        </w:numPr>
        <w:rPr>
          <w:rFonts w:hint="default" w:ascii="Times New Roman" w:hAnsi="Times New Roman" w:cs="Times New Roman"/>
          <w:color w:val="auto"/>
          <w:highlight w:val="none"/>
          <w:lang w:val="en-US" w:eastAsia="zh-CN"/>
        </w:rPr>
      </w:pPr>
    </w:p>
    <w:p>
      <w:pPr>
        <w:pStyle w:val="3"/>
        <w:bidi w:val="0"/>
        <w:rPr>
          <w:rFonts w:hint="eastAsia"/>
          <w:color w:val="auto"/>
          <w:highlight w:val="none"/>
          <w:lang w:val="en-US" w:eastAsia="zh-CN"/>
        </w:rPr>
      </w:pPr>
      <w:bookmarkStart w:id="439" w:name="_Toc22737"/>
      <w:r>
        <w:rPr>
          <w:rFonts w:hint="eastAsia"/>
          <w:color w:val="auto"/>
          <w:highlight w:val="none"/>
          <w:lang w:val="en-US" w:eastAsia="zh-CN"/>
        </w:rPr>
        <w:t>8.2 附图</w:t>
      </w:r>
      <w:bookmarkEnd w:id="439"/>
    </w:p>
    <w:p>
      <w:pPr>
        <w:bidi w:val="0"/>
        <w:rPr>
          <w:rFonts w:hint="eastAsia"/>
          <w:color w:val="auto"/>
          <w:highlight w:val="none"/>
          <w:lang w:val="en-US" w:eastAsia="zh-CN"/>
        </w:rPr>
      </w:pPr>
      <w:r>
        <w:rPr>
          <w:rFonts w:hint="eastAsia"/>
          <w:color w:val="auto"/>
          <w:highlight w:val="none"/>
          <w:lang w:val="en-US" w:eastAsia="zh-CN"/>
        </w:rPr>
        <w:t>监测影像资料</w:t>
      </w:r>
    </w:p>
    <w:p>
      <w:pPr>
        <w:bidi w:val="0"/>
        <w:rPr>
          <w:rFonts w:hint="default"/>
          <w:color w:val="auto"/>
          <w:highlight w:val="none"/>
          <w:lang w:val="en-US" w:eastAsia="zh-CN"/>
        </w:rPr>
      </w:pPr>
      <w:r>
        <w:rPr>
          <w:rFonts w:hint="eastAsia"/>
          <w:color w:val="auto"/>
          <w:highlight w:val="none"/>
          <w:lang w:val="en-US" w:eastAsia="zh-CN"/>
        </w:rPr>
        <w:t>施工过程中</w:t>
      </w:r>
    </w:p>
    <w:p>
      <w:pPr>
        <w:bidi w:val="0"/>
        <w:rPr>
          <w:rFonts w:hint="default"/>
          <w:color w:val="auto"/>
          <w:highlight w:val="none"/>
          <w:lang w:val="en-US" w:eastAsia="zh-CN"/>
        </w:rPr>
      </w:pPr>
      <w:r>
        <w:rPr>
          <w:rFonts w:hint="default"/>
          <w:color w:val="auto"/>
          <w:highlight w:val="none"/>
          <w:lang w:val="en-US" w:eastAsia="zh-CN"/>
        </w:rPr>
        <w:drawing>
          <wp:inline distT="0" distB="0" distL="114300" distR="114300">
            <wp:extent cx="2361565" cy="2177415"/>
            <wp:effectExtent l="0" t="0" r="635" b="13335"/>
            <wp:docPr id="82" name="图片 82" descr="微信图片_20211227142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2" name="图片 82" descr="微信图片_20211227142845"/>
                    <pic:cNvPicPr>
                      <a:picLocks noChangeAspect="1"/>
                    </pic:cNvPicPr>
                  </pic:nvPicPr>
                  <pic:blipFill>
                    <a:blip r:embed="rId57"/>
                    <a:stretch>
                      <a:fillRect/>
                    </a:stretch>
                  </pic:blipFill>
                  <pic:spPr>
                    <a:xfrm>
                      <a:off x="0" y="0"/>
                      <a:ext cx="2361565" cy="2177415"/>
                    </a:xfrm>
                    <a:prstGeom prst="rect">
                      <a:avLst/>
                    </a:prstGeom>
                  </pic:spPr>
                </pic:pic>
              </a:graphicData>
            </a:graphic>
          </wp:inline>
        </w:drawing>
      </w:r>
      <w:r>
        <w:rPr>
          <w:rFonts w:hint="eastAsia"/>
          <w:color w:val="auto"/>
          <w:highlight w:val="none"/>
          <w:lang w:val="en-US" w:eastAsia="zh-CN"/>
        </w:rPr>
        <w:t xml:space="preserve">    </w:t>
      </w:r>
      <w:r>
        <w:rPr>
          <w:rFonts w:hint="default"/>
          <w:color w:val="auto"/>
          <w:highlight w:val="none"/>
          <w:lang w:val="en-US" w:eastAsia="zh-CN"/>
        </w:rPr>
        <w:drawing>
          <wp:inline distT="0" distB="0" distL="114300" distR="114300">
            <wp:extent cx="2322830" cy="2101215"/>
            <wp:effectExtent l="0" t="0" r="1270" b="13335"/>
            <wp:docPr id="83" name="图片 83" descr="微信图片_202112271429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3" name="图片 83" descr="微信图片_20211227142926"/>
                    <pic:cNvPicPr>
                      <a:picLocks noChangeAspect="1"/>
                    </pic:cNvPicPr>
                  </pic:nvPicPr>
                  <pic:blipFill>
                    <a:blip r:embed="rId58"/>
                    <a:stretch>
                      <a:fillRect/>
                    </a:stretch>
                  </pic:blipFill>
                  <pic:spPr>
                    <a:xfrm>
                      <a:off x="0" y="0"/>
                      <a:ext cx="2322830" cy="2101215"/>
                    </a:xfrm>
                    <a:prstGeom prst="rect">
                      <a:avLst/>
                    </a:prstGeom>
                  </pic:spPr>
                </pic:pic>
              </a:graphicData>
            </a:graphic>
          </wp:inline>
        </w:drawing>
      </w:r>
    </w:p>
    <w:p>
      <w:pPr>
        <w:bidi w:val="0"/>
        <w:rPr>
          <w:rFonts w:hint="default"/>
          <w:color w:val="auto"/>
          <w:highlight w:val="none"/>
          <w:lang w:val="en-US" w:eastAsia="zh-CN"/>
        </w:rPr>
      </w:pPr>
    </w:p>
    <w:p>
      <w:pPr>
        <w:bidi w:val="0"/>
        <w:rPr>
          <w:rFonts w:hint="default"/>
          <w:color w:val="auto"/>
          <w:highlight w:val="none"/>
          <w:lang w:val="en-US" w:eastAsia="zh-CN"/>
        </w:rPr>
      </w:pPr>
      <w:r>
        <w:rPr>
          <w:rFonts w:hint="default"/>
          <w:color w:val="auto"/>
          <w:highlight w:val="none"/>
          <w:lang w:val="en-US" w:eastAsia="zh-CN"/>
        </w:rPr>
        <w:drawing>
          <wp:inline distT="0" distB="0" distL="114300" distR="114300">
            <wp:extent cx="2305050" cy="2315845"/>
            <wp:effectExtent l="0" t="0" r="0" b="8255"/>
            <wp:docPr id="84" name="图片 84" descr="微信图片_202112271428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 name="图片 84" descr="微信图片_20211227142854"/>
                    <pic:cNvPicPr>
                      <a:picLocks noChangeAspect="1"/>
                    </pic:cNvPicPr>
                  </pic:nvPicPr>
                  <pic:blipFill>
                    <a:blip r:embed="rId45"/>
                    <a:stretch>
                      <a:fillRect/>
                    </a:stretch>
                  </pic:blipFill>
                  <pic:spPr>
                    <a:xfrm>
                      <a:off x="0" y="0"/>
                      <a:ext cx="2305050" cy="2315845"/>
                    </a:xfrm>
                    <a:prstGeom prst="rect">
                      <a:avLst/>
                    </a:prstGeom>
                  </pic:spPr>
                </pic:pic>
              </a:graphicData>
            </a:graphic>
          </wp:inline>
        </w:drawing>
      </w:r>
      <w:r>
        <w:rPr>
          <w:rFonts w:hint="eastAsia"/>
          <w:color w:val="auto"/>
          <w:highlight w:val="none"/>
          <w:lang w:val="en-US" w:eastAsia="zh-CN"/>
        </w:rPr>
        <w:t xml:space="preserve">    </w:t>
      </w:r>
      <w:r>
        <w:rPr>
          <w:rFonts w:hint="default"/>
          <w:color w:val="auto"/>
          <w:highlight w:val="none"/>
          <w:lang w:val="en-US" w:eastAsia="zh-CN"/>
        </w:rPr>
        <w:drawing>
          <wp:inline distT="0" distB="0" distL="114300" distR="114300">
            <wp:extent cx="2528570" cy="2324100"/>
            <wp:effectExtent l="0" t="0" r="5080" b="0"/>
            <wp:docPr id="85" name="图片 85" descr="微信图片_202112271429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5" name="图片 85" descr="微信图片_20211227142901"/>
                    <pic:cNvPicPr>
                      <a:picLocks noChangeAspect="1"/>
                    </pic:cNvPicPr>
                  </pic:nvPicPr>
                  <pic:blipFill>
                    <a:blip r:embed="rId46"/>
                    <a:stretch>
                      <a:fillRect/>
                    </a:stretch>
                  </pic:blipFill>
                  <pic:spPr>
                    <a:xfrm>
                      <a:off x="0" y="0"/>
                      <a:ext cx="2528570" cy="2324100"/>
                    </a:xfrm>
                    <a:prstGeom prst="rect">
                      <a:avLst/>
                    </a:prstGeom>
                  </pic:spPr>
                </pic:pic>
              </a:graphicData>
            </a:graphic>
          </wp:inline>
        </w:drawing>
      </w:r>
    </w:p>
    <w:p>
      <w:pPr>
        <w:bidi w:val="0"/>
        <w:rPr>
          <w:rFonts w:hint="default"/>
          <w:color w:val="auto"/>
          <w:highlight w:val="none"/>
          <w:lang w:val="en-US" w:eastAsia="zh-CN"/>
        </w:rPr>
      </w:pPr>
    </w:p>
    <w:p>
      <w:pPr>
        <w:bidi w:val="0"/>
        <w:rPr>
          <w:rFonts w:hint="default"/>
          <w:color w:val="auto"/>
          <w:highlight w:val="none"/>
          <w:lang w:val="en-US" w:eastAsia="zh-CN"/>
        </w:rPr>
      </w:pPr>
      <w:r>
        <w:rPr>
          <w:rFonts w:hint="default"/>
          <w:color w:val="auto"/>
          <w:highlight w:val="none"/>
          <w:lang w:val="en-US" w:eastAsia="zh-CN"/>
        </w:rPr>
        <w:drawing>
          <wp:inline distT="0" distB="0" distL="114300" distR="114300">
            <wp:extent cx="2386330" cy="2235835"/>
            <wp:effectExtent l="0" t="0" r="13970" b="12065"/>
            <wp:docPr id="86" name="图片 86" descr="微信图片_202112271429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 name="图片 86" descr="微信图片_20211227142915"/>
                    <pic:cNvPicPr>
                      <a:picLocks noChangeAspect="1"/>
                    </pic:cNvPicPr>
                  </pic:nvPicPr>
                  <pic:blipFill>
                    <a:blip r:embed="rId59"/>
                    <a:stretch>
                      <a:fillRect/>
                    </a:stretch>
                  </pic:blipFill>
                  <pic:spPr>
                    <a:xfrm>
                      <a:off x="0" y="0"/>
                      <a:ext cx="2386330" cy="2235835"/>
                    </a:xfrm>
                    <a:prstGeom prst="rect">
                      <a:avLst/>
                    </a:prstGeom>
                  </pic:spPr>
                </pic:pic>
              </a:graphicData>
            </a:graphic>
          </wp:inline>
        </w:drawing>
      </w:r>
      <w:r>
        <w:rPr>
          <w:rFonts w:hint="eastAsia"/>
          <w:color w:val="auto"/>
          <w:highlight w:val="none"/>
          <w:lang w:val="en-US" w:eastAsia="zh-CN"/>
        </w:rPr>
        <w:t xml:space="preserve">    </w:t>
      </w:r>
      <w:r>
        <w:rPr>
          <w:rFonts w:hint="default"/>
          <w:color w:val="auto"/>
          <w:highlight w:val="none"/>
          <w:lang w:val="en-US" w:eastAsia="zh-CN"/>
        </w:rPr>
        <w:drawing>
          <wp:inline distT="0" distB="0" distL="114300" distR="114300">
            <wp:extent cx="2446655" cy="2150110"/>
            <wp:effectExtent l="0" t="0" r="10795" b="2540"/>
            <wp:docPr id="87" name="图片 87" descr="微信图片_202112271429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7" name="图片 87" descr="微信图片_20211227142918"/>
                    <pic:cNvPicPr>
                      <a:picLocks noChangeAspect="1"/>
                    </pic:cNvPicPr>
                  </pic:nvPicPr>
                  <pic:blipFill>
                    <a:blip r:embed="rId60"/>
                    <a:stretch>
                      <a:fillRect/>
                    </a:stretch>
                  </pic:blipFill>
                  <pic:spPr>
                    <a:xfrm>
                      <a:off x="0" y="0"/>
                      <a:ext cx="2446655" cy="2150110"/>
                    </a:xfrm>
                    <a:prstGeom prst="rect">
                      <a:avLst/>
                    </a:prstGeom>
                  </pic:spPr>
                </pic:pic>
              </a:graphicData>
            </a:graphic>
          </wp:inline>
        </w:drawing>
      </w:r>
    </w:p>
    <w:p>
      <w:pPr>
        <w:bidi w:val="0"/>
        <w:rPr>
          <w:rFonts w:hint="eastAsia"/>
          <w:color w:val="auto"/>
          <w:highlight w:val="none"/>
          <w:lang w:val="en-US" w:eastAsia="zh-CN"/>
        </w:rPr>
      </w:pPr>
    </w:p>
    <w:p>
      <w:pPr>
        <w:bidi w:val="0"/>
        <w:rPr>
          <w:rFonts w:hint="eastAsia"/>
          <w:color w:val="auto"/>
          <w:highlight w:val="none"/>
          <w:lang w:val="en-US" w:eastAsia="zh-CN"/>
        </w:rPr>
      </w:pPr>
    </w:p>
    <w:p>
      <w:pPr>
        <w:bidi w:val="0"/>
        <w:rPr>
          <w:rFonts w:hint="default"/>
          <w:color w:val="auto"/>
          <w:highlight w:val="none"/>
          <w:lang w:val="en-US" w:eastAsia="zh-CN"/>
        </w:rPr>
      </w:pPr>
      <w:r>
        <w:rPr>
          <w:rFonts w:hint="eastAsia"/>
          <w:color w:val="auto"/>
          <w:highlight w:val="none"/>
          <w:lang w:val="en-US" w:eastAsia="zh-CN"/>
        </w:rPr>
        <w:t>监测影像资料</w:t>
      </w:r>
    </w:p>
    <w:p>
      <w:pPr>
        <w:bidi w:val="0"/>
        <w:rPr>
          <w:rFonts w:hint="eastAsia"/>
          <w:color w:val="auto"/>
          <w:highlight w:val="none"/>
          <w:lang w:val="en-US" w:eastAsia="zh-CN"/>
        </w:rPr>
      </w:pPr>
      <w:r>
        <w:rPr>
          <w:rFonts w:hint="eastAsia"/>
          <w:color w:val="auto"/>
          <w:highlight w:val="none"/>
          <w:lang w:val="en-US" w:eastAsia="zh-CN"/>
        </w:rPr>
        <w:t>完工后</w:t>
      </w:r>
    </w:p>
    <w:p>
      <w:pPr>
        <w:bidi w:val="0"/>
        <w:rPr>
          <w:rFonts w:hint="default"/>
          <w:color w:val="auto"/>
          <w:highlight w:val="none"/>
          <w:lang w:val="en-US" w:eastAsia="zh-CN"/>
        </w:rPr>
      </w:pPr>
      <w:r>
        <w:rPr>
          <w:color w:val="auto"/>
          <w:highlight w:val="none"/>
        </w:rPr>
        <w:drawing>
          <wp:inline distT="0" distB="0" distL="114300" distR="114300">
            <wp:extent cx="2496820" cy="2266315"/>
            <wp:effectExtent l="0" t="0" r="17780" b="635"/>
            <wp:docPr id="88" name="图片 1"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 name="图片 1" descr="IMG_256"/>
                    <pic:cNvPicPr>
                      <a:picLocks noChangeAspect="1"/>
                    </pic:cNvPicPr>
                  </pic:nvPicPr>
                  <pic:blipFill>
                    <a:blip r:embed="rId61"/>
                    <a:stretch>
                      <a:fillRect/>
                    </a:stretch>
                  </pic:blipFill>
                  <pic:spPr>
                    <a:xfrm>
                      <a:off x="0" y="0"/>
                      <a:ext cx="2496820" cy="2266315"/>
                    </a:xfrm>
                    <a:prstGeom prst="rect">
                      <a:avLst/>
                    </a:prstGeom>
                    <a:noFill/>
                    <a:ln w="9525">
                      <a:noFill/>
                    </a:ln>
                  </pic:spPr>
                </pic:pic>
              </a:graphicData>
            </a:graphic>
          </wp:inline>
        </w:drawing>
      </w:r>
      <w:r>
        <w:rPr>
          <w:rFonts w:hint="eastAsia"/>
          <w:color w:val="auto"/>
          <w:highlight w:val="none"/>
          <w:lang w:val="en-US" w:eastAsia="zh-CN"/>
        </w:rPr>
        <w:t xml:space="preserve">    </w:t>
      </w:r>
      <w:r>
        <w:rPr>
          <w:color w:val="auto"/>
          <w:highlight w:val="none"/>
        </w:rPr>
        <w:drawing>
          <wp:inline distT="0" distB="0" distL="114300" distR="114300">
            <wp:extent cx="2155825" cy="2188845"/>
            <wp:effectExtent l="0" t="0" r="15875" b="1905"/>
            <wp:docPr id="89"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9" name="图片 2" descr="IMG_256"/>
                    <pic:cNvPicPr>
                      <a:picLocks noChangeAspect="1"/>
                    </pic:cNvPicPr>
                  </pic:nvPicPr>
                  <pic:blipFill>
                    <a:blip r:embed="rId62"/>
                    <a:stretch>
                      <a:fillRect/>
                    </a:stretch>
                  </pic:blipFill>
                  <pic:spPr>
                    <a:xfrm>
                      <a:off x="0" y="0"/>
                      <a:ext cx="2155825" cy="2188845"/>
                    </a:xfrm>
                    <a:prstGeom prst="rect">
                      <a:avLst/>
                    </a:prstGeom>
                    <a:noFill/>
                    <a:ln w="9525">
                      <a:noFill/>
                    </a:ln>
                  </pic:spPr>
                </pic:pic>
              </a:graphicData>
            </a:graphic>
          </wp:inline>
        </w:drawing>
      </w:r>
    </w:p>
    <w:p>
      <w:pPr>
        <w:bidi w:val="0"/>
        <w:rPr>
          <w:color w:val="auto"/>
          <w:highlight w:val="none"/>
        </w:rPr>
      </w:pPr>
    </w:p>
    <w:p>
      <w:pPr>
        <w:bidi w:val="0"/>
        <w:rPr>
          <w:rFonts w:hint="default"/>
          <w:color w:val="auto"/>
          <w:highlight w:val="none"/>
          <w:lang w:val="en-US" w:eastAsia="zh-CN"/>
        </w:rPr>
      </w:pPr>
      <w:r>
        <w:rPr>
          <w:color w:val="auto"/>
          <w:highlight w:val="none"/>
        </w:rPr>
        <w:drawing>
          <wp:inline distT="0" distB="0" distL="114300" distR="114300">
            <wp:extent cx="2484755" cy="2330450"/>
            <wp:effectExtent l="0" t="0" r="10795" b="12700"/>
            <wp:docPr id="90"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0" name="图片 3" descr="IMG_256"/>
                    <pic:cNvPicPr>
                      <a:picLocks noChangeAspect="1"/>
                    </pic:cNvPicPr>
                  </pic:nvPicPr>
                  <pic:blipFill>
                    <a:blip r:embed="rId63"/>
                    <a:stretch>
                      <a:fillRect/>
                    </a:stretch>
                  </pic:blipFill>
                  <pic:spPr>
                    <a:xfrm>
                      <a:off x="0" y="0"/>
                      <a:ext cx="2484755" cy="2330450"/>
                    </a:xfrm>
                    <a:prstGeom prst="rect">
                      <a:avLst/>
                    </a:prstGeom>
                    <a:noFill/>
                    <a:ln w="9525">
                      <a:noFill/>
                    </a:ln>
                  </pic:spPr>
                </pic:pic>
              </a:graphicData>
            </a:graphic>
          </wp:inline>
        </w:drawing>
      </w:r>
      <w:r>
        <w:rPr>
          <w:rFonts w:hint="eastAsia"/>
          <w:color w:val="auto"/>
          <w:highlight w:val="none"/>
          <w:lang w:val="en-US" w:eastAsia="zh-CN"/>
        </w:rPr>
        <w:t xml:space="preserve">   </w:t>
      </w:r>
      <w:r>
        <w:rPr>
          <w:color w:val="auto"/>
          <w:highlight w:val="none"/>
        </w:rPr>
        <w:drawing>
          <wp:inline distT="0" distB="0" distL="114300" distR="114300">
            <wp:extent cx="2472690" cy="2409190"/>
            <wp:effectExtent l="0" t="0" r="3810" b="10160"/>
            <wp:docPr id="91"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1" name="图片 4" descr="IMG_256"/>
                    <pic:cNvPicPr>
                      <a:picLocks noChangeAspect="1"/>
                    </pic:cNvPicPr>
                  </pic:nvPicPr>
                  <pic:blipFill>
                    <a:blip r:embed="rId64"/>
                    <a:stretch>
                      <a:fillRect/>
                    </a:stretch>
                  </pic:blipFill>
                  <pic:spPr>
                    <a:xfrm>
                      <a:off x="0" y="0"/>
                      <a:ext cx="2472690" cy="2409190"/>
                    </a:xfrm>
                    <a:prstGeom prst="rect">
                      <a:avLst/>
                    </a:prstGeom>
                    <a:noFill/>
                    <a:ln w="9525">
                      <a:noFill/>
                    </a:ln>
                  </pic:spPr>
                </pic:pic>
              </a:graphicData>
            </a:graphic>
          </wp:inline>
        </w:drawing>
      </w:r>
    </w:p>
    <w:p>
      <w:pPr>
        <w:bidi w:val="0"/>
        <w:rPr>
          <w:rFonts w:hint="default"/>
          <w:color w:val="auto"/>
          <w:highlight w:val="none"/>
          <w:lang w:val="en-US" w:eastAsia="zh-CN"/>
        </w:rPr>
      </w:pPr>
    </w:p>
    <w:p>
      <w:pPr>
        <w:rPr>
          <w:color w:val="auto"/>
          <w:highlight w:val="none"/>
        </w:rPr>
      </w:pPr>
      <w:r>
        <w:rPr>
          <w:color w:val="auto"/>
          <w:highlight w:val="none"/>
        </w:rPr>
        <w:drawing>
          <wp:inline distT="0" distB="0" distL="114300" distR="114300">
            <wp:extent cx="2442845" cy="2346960"/>
            <wp:effectExtent l="0" t="0" r="14605" b="15240"/>
            <wp:docPr id="92"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 name="图片 5" descr="IMG_256"/>
                    <pic:cNvPicPr>
                      <a:picLocks noChangeAspect="1"/>
                    </pic:cNvPicPr>
                  </pic:nvPicPr>
                  <pic:blipFill>
                    <a:blip r:embed="rId65"/>
                    <a:stretch>
                      <a:fillRect/>
                    </a:stretch>
                  </pic:blipFill>
                  <pic:spPr>
                    <a:xfrm>
                      <a:off x="0" y="0"/>
                      <a:ext cx="2442845" cy="2346960"/>
                    </a:xfrm>
                    <a:prstGeom prst="rect">
                      <a:avLst/>
                    </a:prstGeom>
                    <a:noFill/>
                    <a:ln w="9525">
                      <a:noFill/>
                    </a:ln>
                  </pic:spPr>
                </pic:pic>
              </a:graphicData>
            </a:graphic>
          </wp:inline>
        </w:drawing>
      </w:r>
      <w:r>
        <w:rPr>
          <w:rFonts w:hint="eastAsia"/>
          <w:color w:val="auto"/>
          <w:highlight w:val="none"/>
          <w:lang w:val="en-US" w:eastAsia="zh-CN"/>
        </w:rPr>
        <w:t xml:space="preserve">   </w:t>
      </w:r>
      <w:r>
        <w:rPr>
          <w:color w:val="auto"/>
          <w:highlight w:val="none"/>
        </w:rPr>
        <w:drawing>
          <wp:inline distT="0" distB="0" distL="114300" distR="114300">
            <wp:extent cx="2473960" cy="2280920"/>
            <wp:effectExtent l="0" t="0" r="2540" b="5080"/>
            <wp:docPr id="93"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3" name="图片 6" descr="IMG_256"/>
                    <pic:cNvPicPr>
                      <a:picLocks noChangeAspect="1"/>
                    </pic:cNvPicPr>
                  </pic:nvPicPr>
                  <pic:blipFill>
                    <a:blip r:embed="rId66"/>
                    <a:stretch>
                      <a:fillRect/>
                    </a:stretch>
                  </pic:blipFill>
                  <pic:spPr>
                    <a:xfrm>
                      <a:off x="0" y="0"/>
                      <a:ext cx="2473960" cy="2280920"/>
                    </a:xfrm>
                    <a:prstGeom prst="rect">
                      <a:avLst/>
                    </a:prstGeom>
                    <a:noFill/>
                    <a:ln w="9525">
                      <a:noFill/>
                    </a:ln>
                  </pic:spPr>
                </pic:pic>
              </a:graphicData>
            </a:graphic>
          </wp:inline>
        </w:drawing>
      </w:r>
    </w:p>
    <w:p>
      <w:pPr>
        <w:rPr>
          <w:color w:val="auto"/>
          <w:highlight w:val="none"/>
        </w:rPr>
      </w:pPr>
    </w:p>
    <w:p>
      <w:pPr>
        <w:bidi w:val="0"/>
        <w:rPr>
          <w:rFonts w:hint="default" w:ascii="Times New Roman" w:hAnsi="Times New Roman" w:cs="Times New Roman"/>
          <w:color w:val="auto"/>
          <w:highlight w:val="none"/>
          <w:lang w:val="en-US" w:eastAsia="zh-CN"/>
        </w:rPr>
      </w:pPr>
    </w:p>
    <w:p>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pPr>
        <w:rPr>
          <w:rFonts w:hint="default" w:ascii="Times New Roman" w:hAnsi="Times New Roman" w:cs="Times New Roman"/>
          <w:color w:val="auto"/>
          <w:lang w:val="en-US" w:eastAsia="zh-CN"/>
        </w:rPr>
      </w:pPr>
      <w:r>
        <w:rPr>
          <w:rFonts w:hint="default" w:ascii="Times New Roman" w:hAnsi="Times New Roman" w:cs="Times New Roman"/>
          <w:color w:val="auto"/>
          <w:lang w:val="en-US" w:eastAsia="zh-CN"/>
        </w:rPr>
        <w:br w:type="page"/>
      </w:r>
    </w:p>
    <w:p>
      <w:pPr>
        <w:rPr>
          <w:rFonts w:hint="default" w:ascii="Times New Roman" w:hAnsi="Times New Roman" w:cs="Times New Roman"/>
          <w:color w:val="auto"/>
          <w:lang w:val="en-US" w:eastAsia="zh-CN"/>
        </w:rPr>
      </w:pPr>
      <w:bookmarkStart w:id="440" w:name="_GoBack"/>
      <w:bookmarkEnd w:id="440"/>
    </w:p>
    <w:p>
      <w:pPr>
        <w:spacing w:before="171" w:line="187" w:lineRule="auto"/>
        <w:rPr>
          <w:rFonts w:hint="eastAsia" w:ascii="新宋体" w:hAnsi="新宋体" w:eastAsia="新宋体" w:cs="新宋体"/>
          <w:spacing w:val="-1"/>
          <w:sz w:val="30"/>
          <w:szCs w:val="30"/>
          <w:lang w:val="en-US" w:eastAsia="zh-CN"/>
        </w:rPr>
      </w:pPr>
    </w:p>
    <w:p>
      <w:pPr>
        <w:spacing w:before="171" w:line="187" w:lineRule="auto"/>
        <w:rPr>
          <w:rFonts w:hint="eastAsia" w:ascii="新宋体" w:hAnsi="新宋体" w:eastAsia="新宋体" w:cs="新宋体"/>
          <w:spacing w:val="-1"/>
          <w:sz w:val="30"/>
          <w:szCs w:val="30"/>
          <w:lang w:val="en-US" w:eastAsia="zh-CN"/>
        </w:rPr>
      </w:pPr>
    </w:p>
    <w:p>
      <w:pPr>
        <w:spacing w:before="171" w:line="187" w:lineRule="auto"/>
        <w:rPr>
          <w:rFonts w:hint="eastAsia" w:ascii="新宋体" w:hAnsi="新宋体" w:eastAsia="新宋体" w:cs="新宋体"/>
          <w:spacing w:val="-1"/>
          <w:sz w:val="30"/>
          <w:szCs w:val="30"/>
          <w:lang w:val="en-US" w:eastAsia="zh-CN"/>
        </w:rPr>
      </w:pPr>
    </w:p>
    <w:p>
      <w:pPr>
        <w:spacing w:before="171" w:line="187" w:lineRule="auto"/>
        <w:rPr>
          <w:rFonts w:hint="eastAsia" w:ascii="新宋体" w:hAnsi="新宋体" w:eastAsia="新宋体" w:cs="新宋体"/>
          <w:spacing w:val="-1"/>
          <w:sz w:val="30"/>
          <w:szCs w:val="30"/>
          <w:lang w:val="en-US" w:eastAsia="zh-CN"/>
        </w:rPr>
      </w:pPr>
    </w:p>
    <w:p>
      <w:pPr>
        <w:spacing w:before="171" w:line="187" w:lineRule="auto"/>
        <w:jc w:val="center"/>
        <w:rPr>
          <w:rFonts w:hint="eastAsia" w:ascii="黑体" w:hAnsi="黑体" w:eastAsia="黑体" w:cs="黑体"/>
          <w:b w:val="0"/>
          <w:bCs w:val="0"/>
          <w:spacing w:val="-1"/>
          <w:sz w:val="48"/>
          <w:szCs w:val="48"/>
          <w:lang w:val="en-US" w:eastAsia="zh-CN"/>
        </w:rPr>
      </w:pPr>
      <w:r>
        <w:rPr>
          <w:rFonts w:hint="eastAsia" w:ascii="黑体" w:hAnsi="黑体" w:eastAsia="黑体" w:cs="黑体"/>
          <w:b w:val="0"/>
          <w:bCs w:val="0"/>
          <w:spacing w:val="-1"/>
          <w:sz w:val="48"/>
          <w:szCs w:val="48"/>
          <w:lang w:val="en-US" w:eastAsia="zh-CN"/>
        </w:rPr>
        <w:t>生产建设项目水土保持设施</w:t>
      </w:r>
    </w:p>
    <w:p>
      <w:pPr>
        <w:spacing w:before="171" w:line="187" w:lineRule="auto"/>
        <w:jc w:val="both"/>
        <w:rPr>
          <w:rFonts w:hint="eastAsia" w:ascii="黑体" w:hAnsi="黑体" w:eastAsia="黑体" w:cs="黑体"/>
          <w:b w:val="0"/>
          <w:bCs w:val="0"/>
          <w:spacing w:val="-1"/>
          <w:sz w:val="48"/>
          <w:szCs w:val="48"/>
          <w:lang w:val="en-US" w:eastAsia="zh-CN"/>
        </w:rPr>
      </w:pPr>
    </w:p>
    <w:p>
      <w:pPr>
        <w:spacing w:before="171" w:line="187" w:lineRule="auto"/>
        <w:jc w:val="center"/>
        <w:rPr>
          <w:rFonts w:hint="eastAsia" w:ascii="楷体" w:hAnsi="楷体" w:eastAsia="楷体" w:cs="楷体"/>
          <w:b w:val="0"/>
          <w:bCs w:val="0"/>
          <w:spacing w:val="-1"/>
          <w:sz w:val="72"/>
          <w:szCs w:val="72"/>
          <w:lang w:val="en-US" w:eastAsia="zh-CN"/>
        </w:rPr>
      </w:pPr>
      <w:r>
        <w:rPr>
          <w:rFonts w:hint="eastAsia" w:ascii="楷体" w:hAnsi="楷体" w:eastAsia="楷体" w:cs="楷体"/>
          <w:b w:val="0"/>
          <w:bCs w:val="0"/>
          <w:spacing w:val="-1"/>
          <w:sz w:val="72"/>
          <w:szCs w:val="72"/>
          <w:lang w:val="en-US" w:eastAsia="zh-CN"/>
        </w:rPr>
        <w:t>验收鉴定书</w:t>
      </w:r>
    </w:p>
    <w:p>
      <w:pPr>
        <w:spacing w:before="171" w:line="187" w:lineRule="auto"/>
        <w:jc w:val="both"/>
        <w:rPr>
          <w:rFonts w:hint="eastAsia" w:ascii="楷体" w:hAnsi="楷体" w:eastAsia="楷体" w:cs="楷体"/>
          <w:b w:val="0"/>
          <w:bCs w:val="0"/>
          <w:spacing w:val="-1"/>
          <w:sz w:val="72"/>
          <w:szCs w:val="72"/>
          <w:lang w:val="en-US" w:eastAsia="zh-CN"/>
        </w:rPr>
      </w:pPr>
    </w:p>
    <w:p>
      <w:pPr>
        <w:spacing w:before="171" w:line="187" w:lineRule="auto"/>
        <w:jc w:val="both"/>
        <w:rPr>
          <w:rFonts w:hint="eastAsia" w:ascii="楷体" w:hAnsi="楷体" w:eastAsia="楷体" w:cs="楷体"/>
          <w:b w:val="0"/>
          <w:bCs w:val="0"/>
          <w:spacing w:val="-1"/>
          <w:sz w:val="72"/>
          <w:szCs w:val="72"/>
          <w:lang w:val="en-US" w:eastAsia="zh-CN"/>
        </w:rPr>
      </w:pPr>
    </w:p>
    <w:p>
      <w:pPr>
        <w:spacing w:before="171" w:line="187" w:lineRule="auto"/>
        <w:jc w:val="both"/>
        <w:rPr>
          <w:rFonts w:hint="eastAsia" w:ascii="宋体" w:hAnsi="宋体" w:eastAsia="宋体" w:cs="宋体"/>
          <w:b w:val="0"/>
          <w:bCs w:val="0"/>
          <w:spacing w:val="-1"/>
          <w:sz w:val="28"/>
          <w:szCs w:val="28"/>
          <w:lang w:val="en-US" w:eastAsia="zh-CN"/>
        </w:rPr>
      </w:pPr>
    </w:p>
    <w:p>
      <w:pPr>
        <w:spacing w:before="171" w:line="360" w:lineRule="auto"/>
        <w:ind w:firstLine="1390" w:firstLineChars="500"/>
        <w:jc w:val="both"/>
        <w:rPr>
          <w:rFonts w:hint="default" w:ascii="黑体" w:hAnsi="黑体" w:eastAsia="黑体" w:cs="黑体"/>
          <w:b w:val="0"/>
          <w:bCs w:val="0"/>
          <w:spacing w:val="-1"/>
          <w:sz w:val="28"/>
          <w:szCs w:val="28"/>
          <w:u w:val="thick"/>
          <w:lang w:val="en-US" w:eastAsia="zh-CN"/>
        </w:rPr>
      </w:pPr>
      <w:r>
        <w:rPr>
          <w:rFonts w:hint="eastAsia" w:ascii="黑体" w:hAnsi="黑体" w:eastAsia="黑体" w:cs="黑体"/>
          <w:b w:val="0"/>
          <w:bCs w:val="0"/>
          <w:spacing w:val="-1"/>
          <w:sz w:val="28"/>
          <w:szCs w:val="28"/>
          <w:lang w:val="en-US" w:eastAsia="zh-CN"/>
        </w:rPr>
        <w:t xml:space="preserve">项目名称：    </w:t>
      </w:r>
      <w:r>
        <w:rPr>
          <w:rFonts w:hint="eastAsia" w:ascii="黑体" w:hAnsi="黑体" w:eastAsia="黑体" w:cs="黑体"/>
          <w:b w:val="0"/>
          <w:bCs w:val="0"/>
          <w:spacing w:val="-1"/>
          <w:sz w:val="28"/>
          <w:szCs w:val="28"/>
          <w:u w:val="thick"/>
          <w:lang w:val="en-US" w:eastAsia="zh-CN"/>
        </w:rPr>
        <w:t xml:space="preserve">华天路新建工程项目       </w:t>
      </w:r>
    </w:p>
    <w:p>
      <w:pPr>
        <w:spacing w:before="171" w:line="360" w:lineRule="auto"/>
        <w:ind w:firstLine="1390" w:firstLineChars="500"/>
        <w:jc w:val="both"/>
        <w:rPr>
          <w:rFonts w:hint="default" w:ascii="黑体" w:hAnsi="黑体" w:eastAsia="黑体" w:cs="黑体"/>
          <w:b w:val="0"/>
          <w:bCs w:val="0"/>
          <w:spacing w:val="-1"/>
          <w:sz w:val="28"/>
          <w:szCs w:val="28"/>
          <w:u w:val="single"/>
          <w:lang w:val="en-US" w:eastAsia="zh-CN"/>
        </w:rPr>
      </w:pPr>
      <w:r>
        <w:rPr>
          <w:rFonts w:hint="eastAsia" w:ascii="黑体" w:hAnsi="黑体" w:eastAsia="黑体" w:cs="黑体"/>
          <w:b w:val="0"/>
          <w:bCs w:val="0"/>
          <w:spacing w:val="-1"/>
          <w:sz w:val="28"/>
          <w:szCs w:val="28"/>
          <w:u w:val="none"/>
          <w:lang w:val="en-US" w:eastAsia="zh-CN"/>
        </w:rPr>
        <w:t xml:space="preserve">项目编号：    </w:t>
      </w:r>
      <w:r>
        <w:rPr>
          <w:rFonts w:hint="eastAsia" w:ascii="黑体" w:hAnsi="黑体" w:eastAsia="黑体" w:cs="黑体"/>
          <w:b w:val="0"/>
          <w:bCs w:val="0"/>
          <w:spacing w:val="-1"/>
          <w:sz w:val="28"/>
          <w:szCs w:val="28"/>
          <w:u w:val="single"/>
          <w:lang w:val="en-US" w:eastAsia="zh-CN"/>
        </w:rPr>
        <w:t xml:space="preserve">衡水许【2016】34号       </w:t>
      </w:r>
    </w:p>
    <w:p>
      <w:pPr>
        <w:spacing w:before="171" w:line="360" w:lineRule="auto"/>
        <w:ind w:firstLine="1390" w:firstLineChars="500"/>
        <w:jc w:val="both"/>
        <w:rPr>
          <w:rFonts w:hint="eastAsia" w:ascii="黑体" w:hAnsi="黑体" w:eastAsia="黑体" w:cs="黑体"/>
          <w:b w:val="0"/>
          <w:bCs w:val="0"/>
          <w:spacing w:val="-1"/>
          <w:sz w:val="28"/>
          <w:szCs w:val="28"/>
          <w:u w:val="single"/>
          <w:lang w:val="en-US" w:eastAsia="zh-CN"/>
        </w:rPr>
      </w:pPr>
      <w:r>
        <w:rPr>
          <w:rFonts w:hint="eastAsia" w:ascii="黑体" w:hAnsi="黑体" w:eastAsia="黑体" w:cs="黑体"/>
          <w:b w:val="0"/>
          <w:bCs w:val="0"/>
          <w:spacing w:val="-1"/>
          <w:sz w:val="28"/>
          <w:szCs w:val="28"/>
          <w:u w:val="none"/>
          <w:lang w:val="en-US" w:eastAsia="zh-CN"/>
        </w:rPr>
        <w:t xml:space="preserve">建设地点：    </w:t>
      </w:r>
      <w:r>
        <w:rPr>
          <w:rFonts w:hint="eastAsia" w:ascii="黑体" w:hAnsi="黑体" w:eastAsia="黑体" w:cs="黑体"/>
          <w:b w:val="0"/>
          <w:bCs w:val="0"/>
          <w:spacing w:val="-1"/>
          <w:sz w:val="28"/>
          <w:szCs w:val="28"/>
          <w:u w:val="single"/>
          <w:lang w:val="en-US" w:eastAsia="zh-CN"/>
        </w:rPr>
        <w:t xml:space="preserve">衡阳市珠晖区             </w:t>
      </w:r>
    </w:p>
    <w:p>
      <w:pPr>
        <w:spacing w:before="171" w:line="360" w:lineRule="auto"/>
        <w:ind w:firstLine="1390" w:firstLineChars="500"/>
        <w:jc w:val="both"/>
        <w:rPr>
          <w:rFonts w:hint="default" w:ascii="黑体" w:hAnsi="黑体" w:eastAsia="黑体" w:cs="黑体"/>
          <w:b w:val="0"/>
          <w:bCs w:val="0"/>
          <w:spacing w:val="-1"/>
          <w:sz w:val="28"/>
          <w:szCs w:val="28"/>
          <w:u w:val="thick"/>
          <w:lang w:val="en-US" w:eastAsia="zh-CN"/>
        </w:rPr>
        <w:sectPr>
          <w:pgSz w:w="11905" w:h="16840"/>
          <w:pgMar w:top="1440" w:right="1440" w:bottom="1440" w:left="1440" w:header="0" w:footer="0" w:gutter="0"/>
          <w:cols w:space="720" w:num="1"/>
        </w:sectPr>
      </w:pPr>
      <w:r>
        <w:rPr>
          <w:rFonts w:hint="eastAsia" w:ascii="黑体" w:hAnsi="黑体" w:eastAsia="黑体" w:cs="黑体"/>
          <w:b w:val="0"/>
          <w:bCs w:val="0"/>
          <w:spacing w:val="-1"/>
          <w:sz w:val="28"/>
          <w:szCs w:val="28"/>
          <w:u w:val="none"/>
          <w:lang w:val="en-US" w:eastAsia="zh-CN"/>
        </w:rPr>
        <w:t>验收主持单位：</w:t>
      </w:r>
      <w:r>
        <w:rPr>
          <w:rFonts w:hint="eastAsia" w:ascii="黑体" w:hAnsi="黑体" w:eastAsia="黑体" w:cs="黑体"/>
          <w:b w:val="0"/>
          <w:bCs w:val="0"/>
          <w:spacing w:val="-1"/>
          <w:sz w:val="28"/>
          <w:szCs w:val="28"/>
          <w:u w:val="single"/>
          <w:lang w:val="en-US" w:eastAsia="zh-CN"/>
        </w:rPr>
        <w:t>衡阳市城市投资建设有限公司</w:t>
      </w:r>
    </w:p>
    <w:p>
      <w:pPr>
        <w:spacing w:before="171" w:line="187" w:lineRule="auto"/>
        <w:ind w:firstLine="881"/>
        <w:rPr>
          <w:rFonts w:ascii="新宋体" w:hAnsi="新宋体" w:eastAsia="新宋体" w:cs="新宋体"/>
          <w:sz w:val="30"/>
          <w:szCs w:val="30"/>
        </w:rPr>
      </w:pPr>
      <w:r>
        <w:rPr>
          <w:rFonts w:ascii="新宋体" w:hAnsi="新宋体" w:eastAsia="新宋体" w:cs="新宋体"/>
          <w:spacing w:val="-1"/>
          <w:sz w:val="30"/>
          <w:szCs w:val="30"/>
        </w:rPr>
        <w:t>一、</w:t>
      </w:r>
      <w:r>
        <w:rPr>
          <w:rFonts w:hint="eastAsia" w:ascii="新宋体" w:hAnsi="新宋体" w:eastAsia="新宋体" w:cs="新宋体"/>
          <w:spacing w:val="-1"/>
          <w:sz w:val="30"/>
          <w:szCs w:val="30"/>
          <w:lang w:val="en-US" w:eastAsia="zh-CN"/>
        </w:rPr>
        <w:t>华天路新建</w:t>
      </w:r>
      <w:r>
        <w:rPr>
          <w:rFonts w:ascii="新宋体" w:hAnsi="新宋体" w:eastAsia="新宋体" w:cs="新宋体"/>
          <w:spacing w:val="-1"/>
          <w:sz w:val="30"/>
          <w:szCs w:val="30"/>
        </w:rPr>
        <w:t>项目水土保持设施验收基本情况表</w:t>
      </w:r>
    </w:p>
    <w:p/>
    <w:p>
      <w:pPr>
        <w:spacing w:line="71" w:lineRule="exact"/>
      </w:pPr>
    </w:p>
    <w:tbl>
      <w:tblPr>
        <w:tblStyle w:val="29"/>
        <w:tblW w:w="8830" w:type="dxa"/>
        <w:tblInd w:w="2" w:type="dxa"/>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Layout w:type="fixed"/>
        <w:tblCellMar>
          <w:top w:w="0" w:type="dxa"/>
          <w:left w:w="0" w:type="dxa"/>
          <w:bottom w:w="0" w:type="dxa"/>
          <w:right w:w="0" w:type="dxa"/>
        </w:tblCellMar>
      </w:tblPr>
      <w:tblGrid>
        <w:gridCol w:w="2811"/>
        <w:gridCol w:w="4114"/>
        <w:gridCol w:w="849"/>
        <w:gridCol w:w="1056"/>
      </w:tblGrid>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70" w:hRule="atLeast"/>
        </w:trPr>
        <w:tc>
          <w:tcPr>
            <w:tcW w:w="2811" w:type="dxa"/>
            <w:vAlign w:val="top"/>
          </w:tcPr>
          <w:p>
            <w:pPr>
              <w:spacing w:line="295" w:lineRule="auto"/>
              <w:rPr>
                <w:rFonts w:ascii="宋体"/>
                <w:sz w:val="21"/>
              </w:rPr>
            </w:pPr>
          </w:p>
          <w:p>
            <w:pPr>
              <w:spacing w:before="78" w:line="185" w:lineRule="auto"/>
              <w:ind w:firstLine="995"/>
              <w:rPr>
                <w:rFonts w:ascii="宋体" w:hAnsi="宋体" w:eastAsia="宋体" w:cs="宋体"/>
                <w:sz w:val="24"/>
                <w:szCs w:val="24"/>
              </w:rPr>
            </w:pPr>
            <w:r>
              <w:rPr>
                <w:rFonts w:ascii="宋体" w:hAnsi="宋体" w:eastAsia="宋体" w:cs="宋体"/>
                <w:spacing w:val="-3"/>
                <w:sz w:val="24"/>
                <w:szCs w:val="24"/>
              </w:rPr>
              <w:t>项目名称</w:t>
            </w:r>
          </w:p>
        </w:tc>
        <w:tc>
          <w:tcPr>
            <w:tcW w:w="4114" w:type="dxa"/>
            <w:vAlign w:val="center"/>
          </w:tcPr>
          <w:p>
            <w:pPr>
              <w:spacing w:before="182" w:line="274" w:lineRule="auto"/>
              <w:ind w:left="869" w:right="254" w:hanging="595"/>
              <w:jc w:val="center"/>
              <w:rPr>
                <w:rFonts w:ascii="仿宋" w:hAnsi="仿宋" w:eastAsia="仿宋" w:cs="仿宋"/>
                <w:sz w:val="24"/>
                <w:szCs w:val="24"/>
              </w:rPr>
            </w:pPr>
            <w:r>
              <w:rPr>
                <w:rFonts w:hint="eastAsia" w:ascii="仿宋" w:hAnsi="仿宋" w:eastAsia="仿宋" w:cs="仿宋"/>
                <w:spacing w:val="-2"/>
                <w:sz w:val="24"/>
                <w:szCs w:val="24"/>
                <w:lang w:val="en-US" w:eastAsia="zh-CN"/>
              </w:rPr>
              <w:t>华天路新建工程</w:t>
            </w:r>
            <w:r>
              <w:rPr>
                <w:rFonts w:ascii="仿宋" w:hAnsi="仿宋" w:eastAsia="仿宋" w:cs="仿宋"/>
                <w:spacing w:val="-2"/>
                <w:sz w:val="24"/>
                <w:szCs w:val="24"/>
              </w:rPr>
              <w:t>项目</w:t>
            </w:r>
          </w:p>
        </w:tc>
        <w:tc>
          <w:tcPr>
            <w:tcW w:w="849" w:type="dxa"/>
            <w:vAlign w:val="top"/>
          </w:tcPr>
          <w:p>
            <w:pPr>
              <w:spacing w:before="258"/>
              <w:ind w:firstLine="195"/>
              <w:rPr>
                <w:rFonts w:ascii="宋体" w:hAnsi="宋体" w:eastAsia="宋体" w:cs="宋体"/>
                <w:sz w:val="24"/>
                <w:szCs w:val="24"/>
              </w:rPr>
            </w:pPr>
            <w:r>
              <w:rPr>
                <w:rFonts w:ascii="宋体" w:hAnsi="宋体" w:eastAsia="宋体" w:cs="宋体"/>
                <w:spacing w:val="-4"/>
                <w:sz w:val="24"/>
                <w:szCs w:val="24"/>
              </w:rPr>
              <w:t>行业</w:t>
            </w:r>
          </w:p>
          <w:p>
            <w:pPr>
              <w:spacing w:line="204" w:lineRule="auto"/>
              <w:ind w:firstLine="191"/>
              <w:rPr>
                <w:rFonts w:ascii="宋体" w:hAnsi="宋体" w:eastAsia="宋体" w:cs="宋体"/>
                <w:sz w:val="24"/>
                <w:szCs w:val="24"/>
              </w:rPr>
            </w:pPr>
            <w:r>
              <w:rPr>
                <w:rFonts w:ascii="宋体" w:hAnsi="宋体" w:eastAsia="宋体" w:cs="宋体"/>
                <w:spacing w:val="-3"/>
                <w:sz w:val="24"/>
                <w:szCs w:val="24"/>
              </w:rPr>
              <w:t>类别</w:t>
            </w:r>
          </w:p>
        </w:tc>
        <w:tc>
          <w:tcPr>
            <w:tcW w:w="1056" w:type="dxa"/>
            <w:vAlign w:val="top"/>
          </w:tcPr>
          <w:p>
            <w:pPr>
              <w:spacing w:line="296" w:lineRule="auto"/>
              <w:rPr>
                <w:rFonts w:ascii="宋体"/>
                <w:sz w:val="21"/>
              </w:rPr>
            </w:pPr>
          </w:p>
          <w:p>
            <w:pPr>
              <w:spacing w:before="78" w:line="189" w:lineRule="auto"/>
              <w:ind w:firstLine="303"/>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建筑</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00" w:hRule="atLeast"/>
        </w:trPr>
        <w:tc>
          <w:tcPr>
            <w:tcW w:w="2811" w:type="dxa"/>
            <w:vAlign w:val="top"/>
          </w:tcPr>
          <w:p>
            <w:pPr>
              <w:spacing w:before="171"/>
              <w:ind w:left="518" w:right="399" w:firstLine="475"/>
              <w:rPr>
                <w:rFonts w:ascii="宋体" w:hAnsi="宋体" w:eastAsia="宋体" w:cs="宋体"/>
                <w:sz w:val="24"/>
                <w:szCs w:val="24"/>
              </w:rPr>
            </w:pPr>
            <w:r>
              <w:rPr>
                <w:rFonts w:ascii="宋体" w:hAnsi="宋体" w:eastAsia="宋体" w:cs="宋体"/>
                <w:spacing w:val="-3"/>
                <w:sz w:val="24"/>
                <w:szCs w:val="24"/>
              </w:rPr>
              <w:t>主管部门</w:t>
            </w:r>
            <w:r>
              <w:rPr>
                <w:rFonts w:ascii="宋体" w:hAnsi="宋体" w:eastAsia="宋体" w:cs="宋体"/>
                <w:sz w:val="24"/>
                <w:szCs w:val="24"/>
              </w:rPr>
              <w:t xml:space="preserve">     </w:t>
            </w:r>
            <w:r>
              <w:rPr>
                <w:rFonts w:ascii="宋体" w:hAnsi="宋体" w:eastAsia="宋体" w:cs="宋体"/>
                <w:spacing w:val="-4"/>
                <w:sz w:val="24"/>
                <w:szCs w:val="24"/>
              </w:rPr>
              <w:t>（或主要投资人）</w:t>
            </w:r>
          </w:p>
        </w:tc>
        <w:tc>
          <w:tcPr>
            <w:tcW w:w="4114" w:type="dxa"/>
            <w:vAlign w:val="top"/>
          </w:tcPr>
          <w:p>
            <w:pPr>
              <w:spacing w:before="328" w:line="189" w:lineRule="auto"/>
              <w:ind w:firstLine="636"/>
              <w:rPr>
                <w:rFonts w:ascii="仿宋" w:hAnsi="仿宋" w:eastAsia="仿宋" w:cs="仿宋"/>
                <w:sz w:val="24"/>
                <w:szCs w:val="24"/>
              </w:rPr>
            </w:pPr>
            <w:r>
              <w:rPr>
                <w:rFonts w:hint="eastAsia" w:ascii="仿宋" w:hAnsi="仿宋" w:eastAsia="仿宋" w:cs="仿宋"/>
                <w:spacing w:val="-2"/>
                <w:sz w:val="24"/>
                <w:szCs w:val="24"/>
                <w:lang w:val="en-US" w:eastAsia="zh-CN"/>
              </w:rPr>
              <w:t>衡阳市城市建设有限</w:t>
            </w:r>
            <w:r>
              <w:rPr>
                <w:rFonts w:ascii="仿宋" w:hAnsi="仿宋" w:eastAsia="仿宋" w:cs="仿宋"/>
                <w:spacing w:val="-2"/>
                <w:sz w:val="24"/>
                <w:szCs w:val="24"/>
              </w:rPr>
              <w:t>公司</w:t>
            </w:r>
          </w:p>
        </w:tc>
        <w:tc>
          <w:tcPr>
            <w:tcW w:w="849" w:type="dxa"/>
            <w:vAlign w:val="top"/>
          </w:tcPr>
          <w:p>
            <w:pPr>
              <w:spacing w:before="171"/>
              <w:ind w:firstLine="195"/>
              <w:rPr>
                <w:rFonts w:ascii="宋体" w:hAnsi="宋体" w:eastAsia="宋体" w:cs="宋体"/>
                <w:sz w:val="24"/>
                <w:szCs w:val="24"/>
              </w:rPr>
            </w:pPr>
            <w:r>
              <w:rPr>
                <w:rFonts w:ascii="宋体" w:hAnsi="宋体" w:eastAsia="宋体" w:cs="宋体"/>
                <w:spacing w:val="-4"/>
                <w:sz w:val="24"/>
                <w:szCs w:val="24"/>
              </w:rPr>
              <w:t>项目</w:t>
            </w:r>
          </w:p>
          <w:p>
            <w:pPr>
              <w:spacing w:line="204" w:lineRule="auto"/>
              <w:ind w:firstLine="191"/>
              <w:rPr>
                <w:rFonts w:ascii="宋体" w:hAnsi="宋体" w:eastAsia="宋体" w:cs="宋体"/>
                <w:sz w:val="24"/>
                <w:szCs w:val="24"/>
              </w:rPr>
            </w:pPr>
            <w:r>
              <w:rPr>
                <w:rFonts w:ascii="宋体" w:hAnsi="宋体" w:eastAsia="宋体" w:cs="宋体"/>
                <w:spacing w:val="-3"/>
                <w:sz w:val="24"/>
                <w:szCs w:val="24"/>
              </w:rPr>
              <w:t>性质</w:t>
            </w:r>
          </w:p>
        </w:tc>
        <w:tc>
          <w:tcPr>
            <w:tcW w:w="1056" w:type="dxa"/>
            <w:vAlign w:val="top"/>
          </w:tcPr>
          <w:p>
            <w:pPr>
              <w:spacing w:before="328" w:line="189" w:lineRule="auto"/>
              <w:ind w:firstLine="301"/>
              <w:rPr>
                <w:rFonts w:ascii="仿宋" w:hAnsi="仿宋" w:eastAsia="仿宋" w:cs="仿宋"/>
                <w:sz w:val="24"/>
                <w:szCs w:val="24"/>
              </w:rPr>
            </w:pPr>
            <w:r>
              <w:rPr>
                <w:rFonts w:ascii="仿宋" w:hAnsi="仿宋" w:eastAsia="仿宋" w:cs="仿宋"/>
                <w:spacing w:val="-4"/>
                <w:sz w:val="24"/>
                <w:szCs w:val="24"/>
              </w:rPr>
              <w:t>新建</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959" w:hRule="atLeast"/>
        </w:trPr>
        <w:tc>
          <w:tcPr>
            <w:tcW w:w="2811" w:type="dxa"/>
            <w:vAlign w:val="top"/>
          </w:tcPr>
          <w:p>
            <w:pPr>
              <w:spacing w:before="202" w:line="185" w:lineRule="auto"/>
              <w:ind w:firstLine="754"/>
              <w:rPr>
                <w:rFonts w:ascii="宋体" w:hAnsi="宋体" w:eastAsia="宋体" w:cs="宋体"/>
                <w:sz w:val="24"/>
                <w:szCs w:val="24"/>
              </w:rPr>
            </w:pPr>
            <w:r>
              <w:rPr>
                <w:rFonts w:ascii="宋体" w:hAnsi="宋体" w:eastAsia="宋体" w:cs="宋体"/>
                <w:spacing w:val="-2"/>
                <w:sz w:val="24"/>
                <w:szCs w:val="24"/>
              </w:rPr>
              <w:t>水土保持方案</w:t>
            </w:r>
          </w:p>
          <w:p>
            <w:pPr>
              <w:spacing w:before="71" w:line="185" w:lineRule="auto"/>
              <w:ind w:firstLine="270"/>
              <w:rPr>
                <w:rFonts w:ascii="宋体" w:hAnsi="宋体" w:eastAsia="宋体" w:cs="宋体"/>
                <w:sz w:val="24"/>
                <w:szCs w:val="24"/>
              </w:rPr>
            </w:pPr>
            <w:r>
              <w:rPr>
                <w:rFonts w:ascii="宋体" w:hAnsi="宋体" w:eastAsia="宋体" w:cs="宋体"/>
                <w:spacing w:val="-1"/>
                <w:sz w:val="24"/>
                <w:szCs w:val="24"/>
              </w:rPr>
              <w:t>批复机关、文号及时间</w:t>
            </w:r>
          </w:p>
        </w:tc>
        <w:tc>
          <w:tcPr>
            <w:tcW w:w="6019" w:type="dxa"/>
            <w:gridSpan w:val="3"/>
            <w:vAlign w:val="top"/>
          </w:tcPr>
          <w:p>
            <w:pPr>
              <w:spacing w:line="246" w:lineRule="auto"/>
              <w:rPr>
                <w:rFonts w:ascii="宋体"/>
                <w:sz w:val="21"/>
              </w:rPr>
            </w:pPr>
          </w:p>
          <w:p>
            <w:pPr>
              <w:spacing w:before="78" w:line="189" w:lineRule="auto"/>
              <w:ind w:firstLine="319"/>
              <w:rPr>
                <w:rFonts w:ascii="仿宋" w:hAnsi="仿宋" w:eastAsia="仿宋" w:cs="仿宋"/>
                <w:sz w:val="24"/>
                <w:szCs w:val="24"/>
              </w:rPr>
            </w:pPr>
            <w:r>
              <w:rPr>
                <w:rFonts w:ascii="仿宋" w:hAnsi="仿宋" w:eastAsia="仿宋" w:cs="仿宋"/>
                <w:spacing w:val="-8"/>
                <w:sz w:val="24"/>
                <w:szCs w:val="24"/>
              </w:rPr>
              <w:t>衡阳市水利局、衡水许〔</w:t>
            </w:r>
            <w:r>
              <w:rPr>
                <w:rFonts w:ascii="Times New Roman" w:hAnsi="Times New Roman" w:eastAsia="Times New Roman" w:cs="Times New Roman"/>
                <w:spacing w:val="-8"/>
                <w:sz w:val="24"/>
                <w:szCs w:val="24"/>
              </w:rPr>
              <w:t>201</w:t>
            </w:r>
            <w:r>
              <w:rPr>
                <w:rFonts w:hint="eastAsia" w:ascii="Times New Roman" w:hAnsi="Times New Roman" w:eastAsia="宋体" w:cs="Times New Roman"/>
                <w:spacing w:val="-8"/>
                <w:sz w:val="24"/>
                <w:szCs w:val="24"/>
                <w:lang w:val="en-US" w:eastAsia="zh-CN"/>
              </w:rPr>
              <w:t>6</w:t>
            </w:r>
            <w:r>
              <w:rPr>
                <w:rFonts w:ascii="仿宋" w:hAnsi="仿宋" w:eastAsia="仿宋" w:cs="仿宋"/>
                <w:spacing w:val="-8"/>
                <w:sz w:val="24"/>
                <w:szCs w:val="24"/>
              </w:rPr>
              <w:t>〕</w:t>
            </w:r>
            <w:r>
              <w:rPr>
                <w:rFonts w:hint="default" w:ascii="Times New Roman" w:hAnsi="Times New Roman" w:eastAsia="仿宋" w:cs="Times New Roman"/>
                <w:spacing w:val="-8"/>
                <w:sz w:val="24"/>
                <w:szCs w:val="24"/>
                <w:lang w:val="en-US" w:eastAsia="zh-CN"/>
              </w:rPr>
              <w:t>3</w:t>
            </w:r>
            <w:r>
              <w:rPr>
                <w:rFonts w:hint="default" w:ascii="Times New Roman" w:hAnsi="Times New Roman" w:eastAsia="Times New Roman" w:cs="Times New Roman"/>
                <w:spacing w:val="-8"/>
                <w:sz w:val="24"/>
                <w:szCs w:val="24"/>
              </w:rPr>
              <w:t>4</w:t>
            </w:r>
            <w:r>
              <w:rPr>
                <w:rFonts w:ascii="Times New Roman" w:hAnsi="Times New Roman" w:eastAsia="Times New Roman" w:cs="Times New Roman"/>
                <w:spacing w:val="28"/>
                <w:sz w:val="24"/>
                <w:szCs w:val="24"/>
              </w:rPr>
              <w:t xml:space="preserve"> </w:t>
            </w:r>
            <w:r>
              <w:rPr>
                <w:rFonts w:ascii="仿宋" w:hAnsi="仿宋" w:eastAsia="仿宋" w:cs="仿宋"/>
                <w:spacing w:val="-8"/>
                <w:sz w:val="24"/>
                <w:szCs w:val="24"/>
              </w:rPr>
              <w:t>号、</w:t>
            </w:r>
            <w:r>
              <w:rPr>
                <w:rFonts w:ascii="仿宋" w:hAnsi="仿宋" w:eastAsia="仿宋" w:cs="仿宋"/>
                <w:spacing w:val="23"/>
                <w:sz w:val="24"/>
                <w:szCs w:val="24"/>
              </w:rPr>
              <w:t xml:space="preserve"> </w:t>
            </w:r>
            <w:r>
              <w:rPr>
                <w:rFonts w:ascii="Times New Roman" w:hAnsi="Times New Roman" w:eastAsia="Times New Roman" w:cs="Times New Roman"/>
                <w:spacing w:val="-8"/>
                <w:sz w:val="24"/>
                <w:szCs w:val="24"/>
              </w:rPr>
              <w:t>201</w:t>
            </w:r>
            <w:r>
              <w:rPr>
                <w:rFonts w:hint="eastAsia" w:ascii="Times New Roman" w:hAnsi="Times New Roman" w:eastAsia="宋体" w:cs="Times New Roman"/>
                <w:spacing w:val="-8"/>
                <w:sz w:val="24"/>
                <w:szCs w:val="24"/>
                <w:lang w:val="en-US" w:eastAsia="zh-CN"/>
              </w:rPr>
              <w:t>7</w:t>
            </w:r>
            <w:r>
              <w:rPr>
                <w:rFonts w:ascii="Times New Roman" w:hAnsi="Times New Roman" w:eastAsia="Times New Roman" w:cs="Times New Roman"/>
                <w:spacing w:val="21"/>
                <w:sz w:val="24"/>
                <w:szCs w:val="24"/>
              </w:rPr>
              <w:t xml:space="preserve"> </w:t>
            </w:r>
            <w:r>
              <w:rPr>
                <w:rFonts w:ascii="仿宋" w:hAnsi="仿宋" w:eastAsia="仿宋" w:cs="仿宋"/>
                <w:spacing w:val="-8"/>
                <w:sz w:val="24"/>
                <w:szCs w:val="24"/>
              </w:rPr>
              <w:t>年</w:t>
            </w:r>
            <w:r>
              <w:rPr>
                <w:rFonts w:ascii="仿宋" w:hAnsi="仿宋" w:eastAsia="仿宋" w:cs="仿宋"/>
                <w:spacing w:val="-50"/>
                <w:sz w:val="24"/>
                <w:szCs w:val="24"/>
              </w:rPr>
              <w:t xml:space="preserve"> </w:t>
            </w:r>
            <w:r>
              <w:rPr>
                <w:rFonts w:ascii="Times New Roman" w:hAnsi="Times New Roman" w:eastAsia="Times New Roman" w:cs="Times New Roman"/>
                <w:spacing w:val="-8"/>
                <w:sz w:val="24"/>
                <w:szCs w:val="24"/>
              </w:rPr>
              <w:t>6</w:t>
            </w:r>
            <w:r>
              <w:rPr>
                <w:rFonts w:ascii="Times New Roman" w:hAnsi="Times New Roman" w:eastAsia="Times New Roman" w:cs="Times New Roman"/>
                <w:spacing w:val="27"/>
                <w:w w:val="101"/>
                <w:sz w:val="24"/>
                <w:szCs w:val="24"/>
              </w:rPr>
              <w:t xml:space="preserve"> </w:t>
            </w:r>
            <w:r>
              <w:rPr>
                <w:rFonts w:ascii="仿宋" w:hAnsi="仿宋" w:eastAsia="仿宋" w:cs="仿宋"/>
                <w:spacing w:val="-8"/>
                <w:sz w:val="24"/>
                <w:szCs w:val="24"/>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5" w:hRule="atLeast"/>
        </w:trPr>
        <w:tc>
          <w:tcPr>
            <w:tcW w:w="2811" w:type="dxa"/>
            <w:vAlign w:val="top"/>
          </w:tcPr>
          <w:p>
            <w:pPr>
              <w:spacing w:before="285"/>
              <w:ind w:left="270" w:right="143" w:firstLine="243"/>
              <w:rPr>
                <w:rFonts w:ascii="宋体" w:hAnsi="宋体" w:eastAsia="宋体" w:cs="宋体"/>
                <w:sz w:val="24"/>
                <w:szCs w:val="24"/>
              </w:rPr>
            </w:pPr>
            <w:r>
              <w:rPr>
                <w:rFonts w:ascii="宋体" w:hAnsi="宋体" w:eastAsia="宋体" w:cs="宋体"/>
                <w:spacing w:val="-2"/>
                <w:sz w:val="24"/>
                <w:szCs w:val="24"/>
              </w:rPr>
              <w:t>水土保持方案变更</w:t>
            </w:r>
            <w:r>
              <w:rPr>
                <w:rFonts w:ascii="宋体" w:hAnsi="宋体" w:eastAsia="宋体" w:cs="宋体"/>
                <w:spacing w:val="1"/>
                <w:sz w:val="24"/>
                <w:szCs w:val="24"/>
              </w:rPr>
              <w:t xml:space="preserve">   </w:t>
            </w:r>
            <w:r>
              <w:rPr>
                <w:rFonts w:ascii="宋体" w:hAnsi="宋体" w:eastAsia="宋体" w:cs="宋体"/>
                <w:spacing w:val="-1"/>
                <w:sz w:val="24"/>
                <w:szCs w:val="24"/>
              </w:rPr>
              <w:t>批复机关、文号及时间</w:t>
            </w:r>
          </w:p>
        </w:tc>
        <w:tc>
          <w:tcPr>
            <w:tcW w:w="6019" w:type="dxa"/>
            <w:gridSpan w:val="3"/>
            <w:vAlign w:val="top"/>
          </w:tcPr>
          <w:p>
            <w:pPr>
              <w:spacing w:line="311" w:lineRule="auto"/>
              <w:rPr>
                <w:rFonts w:ascii="宋体"/>
                <w:sz w:val="21"/>
              </w:rPr>
            </w:pPr>
          </w:p>
          <w:p>
            <w:pPr>
              <w:spacing w:before="69" w:line="316" w:lineRule="exact"/>
              <w:ind w:firstLine="2982"/>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6" w:hRule="atLeast"/>
        </w:trPr>
        <w:tc>
          <w:tcPr>
            <w:tcW w:w="2811" w:type="dxa"/>
            <w:vAlign w:val="top"/>
          </w:tcPr>
          <w:p>
            <w:pPr>
              <w:spacing w:before="286"/>
              <w:ind w:left="270" w:right="143" w:firstLine="243"/>
              <w:rPr>
                <w:rFonts w:ascii="宋体" w:hAnsi="宋体" w:eastAsia="宋体" w:cs="宋体"/>
                <w:sz w:val="24"/>
                <w:szCs w:val="24"/>
              </w:rPr>
            </w:pPr>
            <w:r>
              <w:rPr>
                <w:rFonts w:ascii="宋体" w:hAnsi="宋体" w:eastAsia="宋体" w:cs="宋体"/>
                <w:spacing w:val="-2"/>
                <w:sz w:val="24"/>
                <w:szCs w:val="24"/>
              </w:rPr>
              <w:t>水土保持初步设计</w:t>
            </w:r>
            <w:r>
              <w:rPr>
                <w:rFonts w:ascii="宋体" w:hAnsi="宋体" w:eastAsia="宋体" w:cs="宋体"/>
                <w:spacing w:val="1"/>
                <w:sz w:val="24"/>
                <w:szCs w:val="24"/>
              </w:rPr>
              <w:t xml:space="preserve">   </w:t>
            </w:r>
            <w:r>
              <w:rPr>
                <w:rFonts w:ascii="宋体" w:hAnsi="宋体" w:eastAsia="宋体" w:cs="宋体"/>
                <w:spacing w:val="-1"/>
                <w:sz w:val="24"/>
                <w:szCs w:val="24"/>
              </w:rPr>
              <w:t>批复机关、文号及时间</w:t>
            </w:r>
          </w:p>
        </w:tc>
        <w:tc>
          <w:tcPr>
            <w:tcW w:w="6019" w:type="dxa"/>
            <w:gridSpan w:val="3"/>
            <w:vAlign w:val="top"/>
          </w:tcPr>
          <w:p>
            <w:pPr>
              <w:spacing w:line="312" w:lineRule="auto"/>
              <w:rPr>
                <w:rFonts w:ascii="宋体"/>
                <w:sz w:val="21"/>
              </w:rPr>
            </w:pPr>
          </w:p>
          <w:p>
            <w:pPr>
              <w:spacing w:before="69" w:line="315" w:lineRule="exact"/>
              <w:ind w:firstLine="2982"/>
              <w:rPr>
                <w:rFonts w:ascii="Times New Roman" w:hAnsi="Times New Roman" w:eastAsia="Times New Roman" w:cs="Times New Roman"/>
                <w:sz w:val="24"/>
                <w:szCs w:val="24"/>
              </w:rPr>
            </w:pPr>
            <w:r>
              <w:rPr>
                <w:rFonts w:ascii="Times New Roman" w:hAnsi="Times New Roman" w:eastAsia="Times New Roman" w:cs="Times New Roman"/>
                <w:sz w:val="24"/>
                <w:szCs w:val="24"/>
              </w:rPr>
              <w:t>/</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125" w:hRule="atLeast"/>
        </w:trPr>
        <w:tc>
          <w:tcPr>
            <w:tcW w:w="2811" w:type="dxa"/>
            <w:vAlign w:val="top"/>
          </w:tcPr>
          <w:p>
            <w:pPr>
              <w:spacing w:line="320" w:lineRule="auto"/>
              <w:rPr>
                <w:rFonts w:ascii="宋体"/>
                <w:sz w:val="21"/>
              </w:rPr>
            </w:pPr>
          </w:p>
          <w:p>
            <w:pPr>
              <w:spacing w:before="78" w:line="185" w:lineRule="auto"/>
              <w:ind w:firstLine="515"/>
              <w:rPr>
                <w:rFonts w:ascii="宋体" w:hAnsi="宋体" w:eastAsia="宋体" w:cs="宋体"/>
                <w:sz w:val="24"/>
                <w:szCs w:val="24"/>
              </w:rPr>
            </w:pPr>
            <w:r>
              <w:rPr>
                <w:rFonts w:ascii="宋体" w:hAnsi="宋体" w:eastAsia="宋体" w:cs="宋体"/>
                <w:spacing w:val="-2"/>
                <w:sz w:val="24"/>
                <w:szCs w:val="24"/>
              </w:rPr>
              <w:t>项目建设起止时间</w:t>
            </w:r>
          </w:p>
        </w:tc>
        <w:tc>
          <w:tcPr>
            <w:tcW w:w="6019" w:type="dxa"/>
            <w:gridSpan w:val="3"/>
            <w:vAlign w:val="top"/>
          </w:tcPr>
          <w:p>
            <w:pPr>
              <w:spacing w:line="336" w:lineRule="auto"/>
              <w:rPr>
                <w:rFonts w:ascii="宋体"/>
                <w:sz w:val="21"/>
              </w:rPr>
            </w:pPr>
          </w:p>
          <w:p>
            <w:pPr>
              <w:spacing w:before="78" w:line="184" w:lineRule="auto"/>
              <w:ind w:firstLine="1600"/>
              <w:rPr>
                <w:rFonts w:ascii="仿宋" w:hAnsi="仿宋" w:eastAsia="仿宋" w:cs="仿宋"/>
                <w:sz w:val="24"/>
                <w:szCs w:val="24"/>
              </w:rPr>
            </w:pPr>
            <w:r>
              <w:rPr>
                <w:rFonts w:ascii="Times New Roman" w:hAnsi="Times New Roman" w:eastAsia="Times New Roman" w:cs="Times New Roman"/>
                <w:spacing w:val="-6"/>
                <w:sz w:val="24"/>
                <w:szCs w:val="24"/>
              </w:rPr>
              <w:t>20</w:t>
            </w:r>
            <w:r>
              <w:rPr>
                <w:rFonts w:hint="eastAsia" w:ascii="Times New Roman" w:hAnsi="Times New Roman" w:eastAsia="宋体" w:cs="Times New Roman"/>
                <w:spacing w:val="-6"/>
                <w:sz w:val="24"/>
                <w:szCs w:val="24"/>
                <w:lang w:val="en-US" w:eastAsia="zh-CN"/>
              </w:rPr>
              <w:t>16</w:t>
            </w:r>
            <w:r>
              <w:rPr>
                <w:rFonts w:ascii="Times New Roman" w:hAnsi="Times New Roman" w:eastAsia="Times New Roman" w:cs="Times New Roman"/>
                <w:spacing w:val="25"/>
                <w:sz w:val="24"/>
                <w:szCs w:val="24"/>
              </w:rPr>
              <w:t xml:space="preserve"> </w:t>
            </w:r>
            <w:r>
              <w:rPr>
                <w:rFonts w:ascii="仿宋" w:hAnsi="仿宋" w:eastAsia="仿宋" w:cs="仿宋"/>
                <w:spacing w:val="-6"/>
                <w:sz w:val="24"/>
                <w:szCs w:val="24"/>
              </w:rPr>
              <w:t>年</w:t>
            </w:r>
            <w:r>
              <w:rPr>
                <w:rFonts w:ascii="仿宋" w:hAnsi="仿宋" w:eastAsia="仿宋" w:cs="仿宋"/>
                <w:spacing w:val="-50"/>
                <w:sz w:val="24"/>
                <w:szCs w:val="24"/>
              </w:rPr>
              <w:t xml:space="preserve"> </w:t>
            </w:r>
            <w:r>
              <w:rPr>
                <w:rFonts w:hint="eastAsia" w:ascii="Times New Roman" w:hAnsi="Times New Roman" w:eastAsia="宋体" w:cs="Times New Roman"/>
                <w:spacing w:val="-6"/>
                <w:sz w:val="24"/>
                <w:szCs w:val="24"/>
                <w:lang w:val="en-US" w:eastAsia="zh-CN"/>
              </w:rPr>
              <w:t>10</w:t>
            </w:r>
            <w:r>
              <w:rPr>
                <w:rFonts w:ascii="Times New Roman" w:hAnsi="Times New Roman" w:eastAsia="Times New Roman" w:cs="Times New Roman"/>
                <w:spacing w:val="22"/>
                <w:sz w:val="24"/>
                <w:szCs w:val="24"/>
              </w:rPr>
              <w:t xml:space="preserve"> </w:t>
            </w:r>
            <w:r>
              <w:rPr>
                <w:rFonts w:ascii="仿宋" w:hAnsi="仿宋" w:eastAsia="仿宋" w:cs="仿宋"/>
                <w:spacing w:val="-6"/>
                <w:sz w:val="24"/>
                <w:szCs w:val="24"/>
              </w:rPr>
              <w:t>月至</w:t>
            </w:r>
            <w:r>
              <w:rPr>
                <w:rFonts w:ascii="仿宋" w:hAnsi="仿宋" w:eastAsia="仿宋" w:cs="仿宋"/>
                <w:spacing w:val="-55"/>
                <w:sz w:val="24"/>
                <w:szCs w:val="24"/>
              </w:rPr>
              <w:t xml:space="preserve"> </w:t>
            </w:r>
            <w:r>
              <w:rPr>
                <w:rFonts w:ascii="Times New Roman" w:hAnsi="Times New Roman" w:eastAsia="Times New Roman" w:cs="Times New Roman"/>
                <w:spacing w:val="-6"/>
                <w:sz w:val="24"/>
                <w:szCs w:val="24"/>
              </w:rPr>
              <w:t>20</w:t>
            </w:r>
            <w:r>
              <w:rPr>
                <w:rFonts w:hint="eastAsia" w:ascii="Times New Roman" w:hAnsi="Times New Roman" w:eastAsia="宋体" w:cs="Times New Roman"/>
                <w:spacing w:val="-6"/>
                <w:sz w:val="24"/>
                <w:szCs w:val="24"/>
                <w:lang w:val="en-US" w:eastAsia="zh-CN"/>
              </w:rPr>
              <w:t>17</w:t>
            </w:r>
            <w:r>
              <w:rPr>
                <w:rFonts w:ascii="Times New Roman" w:hAnsi="Times New Roman" w:eastAsia="Times New Roman" w:cs="Times New Roman"/>
                <w:spacing w:val="12"/>
                <w:w w:val="101"/>
                <w:sz w:val="24"/>
                <w:szCs w:val="24"/>
              </w:rPr>
              <w:t xml:space="preserve"> </w:t>
            </w:r>
            <w:r>
              <w:rPr>
                <w:rFonts w:ascii="仿宋" w:hAnsi="仿宋" w:eastAsia="仿宋" w:cs="仿宋"/>
                <w:spacing w:val="-6"/>
                <w:sz w:val="24"/>
                <w:szCs w:val="24"/>
              </w:rPr>
              <w:t>年</w:t>
            </w:r>
            <w:r>
              <w:rPr>
                <w:rFonts w:ascii="仿宋" w:hAnsi="仿宋" w:eastAsia="仿宋" w:cs="仿宋"/>
                <w:spacing w:val="-50"/>
                <w:sz w:val="24"/>
                <w:szCs w:val="24"/>
              </w:rPr>
              <w:t xml:space="preserve"> </w:t>
            </w:r>
            <w:r>
              <w:rPr>
                <w:rFonts w:ascii="Times New Roman" w:hAnsi="Times New Roman" w:eastAsia="Times New Roman" w:cs="Times New Roman"/>
                <w:spacing w:val="-6"/>
                <w:sz w:val="24"/>
                <w:szCs w:val="24"/>
              </w:rPr>
              <w:t>6</w:t>
            </w:r>
            <w:r>
              <w:rPr>
                <w:rFonts w:ascii="Times New Roman" w:hAnsi="Times New Roman" w:eastAsia="Times New Roman" w:cs="Times New Roman"/>
                <w:spacing w:val="21"/>
                <w:w w:val="101"/>
                <w:sz w:val="24"/>
                <w:szCs w:val="24"/>
              </w:rPr>
              <w:t xml:space="preserve"> </w:t>
            </w:r>
            <w:r>
              <w:rPr>
                <w:rFonts w:ascii="仿宋" w:hAnsi="仿宋" w:eastAsia="仿宋" w:cs="仿宋"/>
                <w:spacing w:val="-6"/>
                <w:sz w:val="24"/>
                <w:szCs w:val="24"/>
              </w:rPr>
              <w:t>月</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top"/>
          </w:tcPr>
          <w:p>
            <w:pPr>
              <w:spacing w:line="273" w:lineRule="auto"/>
              <w:rPr>
                <w:rFonts w:ascii="宋体"/>
                <w:sz w:val="21"/>
              </w:rPr>
            </w:pPr>
          </w:p>
          <w:p>
            <w:pPr>
              <w:spacing w:before="78" w:line="185" w:lineRule="auto"/>
              <w:ind w:firstLine="274"/>
              <w:rPr>
                <w:rFonts w:ascii="宋体" w:hAnsi="宋体" w:eastAsia="宋体" w:cs="宋体"/>
                <w:sz w:val="24"/>
                <w:szCs w:val="24"/>
              </w:rPr>
            </w:pPr>
            <w:r>
              <w:rPr>
                <w:rFonts w:ascii="宋体" w:hAnsi="宋体" w:eastAsia="宋体" w:cs="宋体"/>
                <w:spacing w:val="-2"/>
                <w:sz w:val="24"/>
                <w:szCs w:val="24"/>
              </w:rPr>
              <w:t>水土保持方案编制单位</w:t>
            </w:r>
          </w:p>
        </w:tc>
        <w:tc>
          <w:tcPr>
            <w:tcW w:w="6019" w:type="dxa"/>
            <w:gridSpan w:val="3"/>
            <w:vAlign w:val="center"/>
          </w:tcPr>
          <w:p>
            <w:pPr>
              <w:spacing w:before="79" w:line="189" w:lineRule="auto"/>
              <w:ind w:firstLine="1614" w:firstLineChars="684"/>
              <w:jc w:val="both"/>
              <w:rPr>
                <w:rFonts w:hint="default" w:ascii="仿宋" w:hAnsi="仿宋" w:eastAsia="仿宋" w:cs="仿宋"/>
                <w:sz w:val="24"/>
                <w:szCs w:val="24"/>
                <w:lang w:val="en-US" w:eastAsia="zh-CN"/>
              </w:rPr>
            </w:pPr>
            <w:r>
              <w:rPr>
                <w:rFonts w:ascii="仿宋" w:hAnsi="仿宋" w:eastAsia="仿宋" w:cs="仿宋"/>
                <w:spacing w:val="-2"/>
                <w:sz w:val="24"/>
                <w:szCs w:val="24"/>
              </w:rPr>
              <w:t>湖南</w:t>
            </w:r>
            <w:r>
              <w:rPr>
                <w:rFonts w:hint="eastAsia" w:ascii="仿宋" w:hAnsi="仿宋" w:eastAsia="仿宋" w:cs="仿宋"/>
                <w:spacing w:val="-2"/>
                <w:sz w:val="24"/>
                <w:szCs w:val="24"/>
                <w:lang w:val="en-US" w:eastAsia="zh-CN"/>
              </w:rPr>
              <w:t>华意项目管理有限公司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top"/>
          </w:tcPr>
          <w:p>
            <w:pPr>
              <w:spacing w:before="232"/>
              <w:ind w:left="514" w:right="143" w:hanging="240"/>
              <w:rPr>
                <w:rFonts w:ascii="宋体" w:hAnsi="宋体" w:eastAsia="宋体" w:cs="宋体"/>
                <w:sz w:val="24"/>
                <w:szCs w:val="24"/>
              </w:rPr>
            </w:pPr>
            <w:r>
              <w:rPr>
                <w:rFonts w:ascii="宋体" w:hAnsi="宋体" w:eastAsia="宋体" w:cs="宋体"/>
                <w:spacing w:val="-2"/>
                <w:sz w:val="24"/>
                <w:szCs w:val="24"/>
              </w:rPr>
              <w:t>水土保持初步设计单位</w:t>
            </w:r>
            <w:r>
              <w:rPr>
                <w:rFonts w:ascii="宋体" w:hAnsi="宋体" w:eastAsia="宋体" w:cs="宋体"/>
                <w:spacing w:val="7"/>
                <w:sz w:val="24"/>
                <w:szCs w:val="24"/>
              </w:rPr>
              <w:t xml:space="preserve"> </w:t>
            </w:r>
            <w:r>
              <w:rPr>
                <w:rFonts w:ascii="宋体" w:hAnsi="宋体" w:eastAsia="宋体" w:cs="宋体"/>
                <w:spacing w:val="-2"/>
                <w:sz w:val="24"/>
                <w:szCs w:val="24"/>
              </w:rPr>
              <w:t>或施工图设计单位</w:t>
            </w:r>
          </w:p>
        </w:tc>
        <w:tc>
          <w:tcPr>
            <w:tcW w:w="6019" w:type="dxa"/>
            <w:gridSpan w:val="3"/>
            <w:vAlign w:val="top"/>
          </w:tcPr>
          <w:p>
            <w:pPr>
              <w:spacing w:line="275" w:lineRule="auto"/>
              <w:rPr>
                <w:rFonts w:ascii="宋体"/>
                <w:sz w:val="21"/>
              </w:rPr>
            </w:pPr>
          </w:p>
          <w:p>
            <w:pPr>
              <w:spacing w:before="78" w:line="184" w:lineRule="auto"/>
              <w:ind w:firstLine="1920" w:firstLineChars="800"/>
              <w:rPr>
                <w:rFonts w:hint="default" w:ascii="仿宋" w:hAnsi="仿宋" w:eastAsia="仿宋" w:cs="仿宋"/>
                <w:sz w:val="24"/>
                <w:szCs w:val="24"/>
                <w:lang w:val="en-US" w:eastAsia="zh-CN"/>
              </w:rPr>
            </w:pPr>
            <w:r>
              <w:rPr>
                <w:rFonts w:hint="eastAsia" w:ascii="仿宋" w:hAnsi="仿宋" w:eastAsia="仿宋" w:cs="仿宋"/>
                <w:sz w:val="24"/>
                <w:szCs w:val="24"/>
                <w:lang w:val="en-US" w:eastAsia="zh-CN"/>
              </w:rPr>
              <w:t>衡阳市规划设计院</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top"/>
          </w:tcPr>
          <w:p>
            <w:pPr>
              <w:spacing w:line="273" w:lineRule="auto"/>
              <w:rPr>
                <w:rFonts w:ascii="宋体"/>
                <w:sz w:val="21"/>
              </w:rPr>
            </w:pPr>
          </w:p>
          <w:p>
            <w:pPr>
              <w:spacing w:before="78" w:line="185" w:lineRule="auto"/>
              <w:ind w:firstLine="514"/>
              <w:rPr>
                <w:rFonts w:ascii="宋体" w:hAnsi="宋体" w:eastAsia="宋体" w:cs="宋体"/>
                <w:sz w:val="24"/>
                <w:szCs w:val="24"/>
              </w:rPr>
            </w:pPr>
            <w:r>
              <w:rPr>
                <w:rFonts w:ascii="宋体" w:hAnsi="宋体" w:eastAsia="宋体" w:cs="宋体"/>
                <w:spacing w:val="-2"/>
                <w:sz w:val="24"/>
                <w:szCs w:val="24"/>
              </w:rPr>
              <w:t>水土保持监测单位</w:t>
            </w:r>
          </w:p>
        </w:tc>
        <w:tc>
          <w:tcPr>
            <w:tcW w:w="6019" w:type="dxa"/>
            <w:gridSpan w:val="3"/>
            <w:vAlign w:val="top"/>
          </w:tcPr>
          <w:p>
            <w:pPr>
              <w:spacing w:line="274" w:lineRule="auto"/>
              <w:rPr>
                <w:rFonts w:ascii="宋体"/>
                <w:sz w:val="21"/>
              </w:rPr>
            </w:pPr>
          </w:p>
          <w:p>
            <w:pPr>
              <w:spacing w:before="78" w:line="189" w:lineRule="auto"/>
              <w:ind w:firstLine="1614" w:firstLineChars="684"/>
              <w:rPr>
                <w:rFonts w:ascii="仿宋" w:hAnsi="仿宋" w:eastAsia="仿宋" w:cs="仿宋"/>
                <w:sz w:val="24"/>
                <w:szCs w:val="24"/>
              </w:rPr>
            </w:pPr>
            <w:r>
              <w:rPr>
                <w:rFonts w:ascii="仿宋" w:hAnsi="仿宋" w:eastAsia="仿宋" w:cs="仿宋"/>
                <w:spacing w:val="-2"/>
                <w:sz w:val="24"/>
                <w:szCs w:val="24"/>
              </w:rPr>
              <w:t>湖南</w:t>
            </w:r>
            <w:r>
              <w:rPr>
                <w:rFonts w:hint="eastAsia" w:ascii="仿宋" w:hAnsi="仿宋" w:eastAsia="仿宋" w:cs="仿宋"/>
                <w:spacing w:val="-2"/>
                <w:sz w:val="24"/>
                <w:szCs w:val="24"/>
                <w:lang w:val="en-US" w:eastAsia="zh-CN"/>
              </w:rPr>
              <w:t>华意项目管理有限</w:t>
            </w:r>
            <w:r>
              <w:rPr>
                <w:rFonts w:ascii="仿宋" w:hAnsi="仿宋" w:eastAsia="仿宋" w:cs="仿宋"/>
                <w:spacing w:val="-2"/>
                <w:sz w:val="24"/>
                <w:szCs w:val="24"/>
              </w:rPr>
              <w:t>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top"/>
          </w:tcPr>
          <w:p>
            <w:pPr>
              <w:spacing w:line="272" w:lineRule="auto"/>
              <w:rPr>
                <w:rFonts w:ascii="宋体"/>
                <w:sz w:val="21"/>
              </w:rPr>
            </w:pPr>
          </w:p>
          <w:p>
            <w:pPr>
              <w:spacing w:before="79" w:line="185" w:lineRule="auto"/>
              <w:ind w:firstLine="514"/>
              <w:rPr>
                <w:rFonts w:ascii="宋体" w:hAnsi="宋体" w:eastAsia="宋体" w:cs="宋体"/>
                <w:sz w:val="24"/>
                <w:szCs w:val="24"/>
              </w:rPr>
            </w:pPr>
            <w:r>
              <w:rPr>
                <w:rFonts w:ascii="宋体" w:hAnsi="宋体" w:eastAsia="宋体" w:cs="宋体"/>
                <w:spacing w:val="-2"/>
                <w:sz w:val="24"/>
                <w:szCs w:val="24"/>
              </w:rPr>
              <w:t>水土保持施工单位</w:t>
            </w:r>
          </w:p>
        </w:tc>
        <w:tc>
          <w:tcPr>
            <w:tcW w:w="6019" w:type="dxa"/>
            <w:gridSpan w:val="3"/>
            <w:vAlign w:val="center"/>
          </w:tcPr>
          <w:p>
            <w:pPr>
              <w:spacing w:before="232"/>
              <w:ind w:right="263" w:firstLine="1652" w:firstLineChars="700"/>
              <w:jc w:val="both"/>
              <w:rPr>
                <w:rFonts w:ascii="仿宋" w:hAnsi="仿宋" w:eastAsia="仿宋" w:cs="仿宋"/>
                <w:sz w:val="24"/>
                <w:szCs w:val="24"/>
              </w:rPr>
            </w:pPr>
            <w:r>
              <w:rPr>
                <w:rFonts w:hint="eastAsia" w:ascii="仿宋" w:hAnsi="仿宋" w:eastAsia="仿宋" w:cs="仿宋"/>
                <w:spacing w:val="-2"/>
                <w:sz w:val="24"/>
                <w:szCs w:val="24"/>
                <w:lang w:val="en-US" w:eastAsia="zh-CN"/>
              </w:rPr>
              <w:t>湖南顺天集团建设有限公司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16" w:hRule="atLeast"/>
        </w:trPr>
        <w:tc>
          <w:tcPr>
            <w:tcW w:w="2811" w:type="dxa"/>
            <w:vAlign w:val="top"/>
          </w:tcPr>
          <w:p>
            <w:pPr>
              <w:spacing w:line="273" w:lineRule="auto"/>
              <w:rPr>
                <w:rFonts w:ascii="宋体"/>
                <w:sz w:val="21"/>
              </w:rPr>
            </w:pPr>
          </w:p>
          <w:p>
            <w:pPr>
              <w:spacing w:before="78" w:line="185" w:lineRule="auto"/>
              <w:ind w:firstLine="992"/>
              <w:rPr>
                <w:rFonts w:ascii="宋体" w:hAnsi="宋体" w:eastAsia="宋体" w:cs="宋体"/>
                <w:sz w:val="24"/>
                <w:szCs w:val="24"/>
              </w:rPr>
            </w:pPr>
            <w:r>
              <w:rPr>
                <w:rFonts w:ascii="宋体" w:hAnsi="宋体" w:eastAsia="宋体" w:cs="宋体"/>
                <w:spacing w:val="-2"/>
                <w:sz w:val="24"/>
                <w:szCs w:val="24"/>
              </w:rPr>
              <w:t>监理单位</w:t>
            </w:r>
          </w:p>
        </w:tc>
        <w:tc>
          <w:tcPr>
            <w:tcW w:w="6019" w:type="dxa"/>
            <w:gridSpan w:val="3"/>
            <w:vAlign w:val="top"/>
          </w:tcPr>
          <w:p>
            <w:pPr>
              <w:spacing w:line="272" w:lineRule="auto"/>
              <w:rPr>
                <w:rFonts w:ascii="宋体"/>
                <w:sz w:val="21"/>
              </w:rPr>
            </w:pPr>
          </w:p>
          <w:p>
            <w:pPr>
              <w:spacing w:before="78" w:line="189" w:lineRule="auto"/>
              <w:ind w:firstLine="1611" w:firstLineChars="683"/>
              <w:rPr>
                <w:rFonts w:ascii="仿宋" w:hAnsi="仿宋" w:eastAsia="仿宋" w:cs="仿宋"/>
                <w:sz w:val="24"/>
                <w:szCs w:val="24"/>
              </w:rPr>
            </w:pPr>
            <w:r>
              <w:rPr>
                <w:rFonts w:hint="eastAsia" w:ascii="仿宋" w:hAnsi="仿宋" w:eastAsia="仿宋" w:cs="仿宋"/>
                <w:spacing w:val="-2"/>
                <w:sz w:val="24"/>
                <w:szCs w:val="24"/>
                <w:lang w:val="en-US" w:eastAsia="zh-CN"/>
              </w:rPr>
              <w:t>湖南安泰项目管理有限</w:t>
            </w:r>
            <w:r>
              <w:rPr>
                <w:rFonts w:ascii="仿宋" w:hAnsi="仿宋" w:eastAsia="仿宋" w:cs="仿宋"/>
                <w:spacing w:val="-2"/>
                <w:sz w:val="24"/>
                <w:szCs w:val="24"/>
              </w:rPr>
              <w:t>公司</w:t>
            </w:r>
          </w:p>
        </w:tc>
      </w:tr>
      <w:tr>
        <w:tblPrEx>
          <w:tblBorders>
            <w:top w:val="single" w:color="000000" w:sz="2" w:space="0"/>
            <w:left w:val="single" w:color="000000" w:sz="2" w:space="0"/>
            <w:bottom w:val="single" w:color="000000" w:sz="2" w:space="0"/>
            <w:right w:val="single" w:color="000000" w:sz="2" w:space="0"/>
            <w:insideH w:val="single" w:color="000000" w:sz="2" w:space="0"/>
            <w:insideV w:val="single" w:color="000000" w:sz="2" w:space="0"/>
          </w:tblBorders>
          <w:tblCellMar>
            <w:top w:w="0" w:type="dxa"/>
            <w:left w:w="0" w:type="dxa"/>
            <w:bottom w:w="0" w:type="dxa"/>
            <w:right w:w="0" w:type="dxa"/>
          </w:tblCellMar>
        </w:tblPrEx>
        <w:trPr>
          <w:trHeight w:val="1020" w:hRule="atLeast"/>
        </w:trPr>
        <w:tc>
          <w:tcPr>
            <w:tcW w:w="2811" w:type="dxa"/>
            <w:vAlign w:val="top"/>
          </w:tcPr>
          <w:p>
            <w:pPr>
              <w:spacing w:before="232"/>
              <w:ind w:left="993" w:right="143" w:hanging="719"/>
              <w:rPr>
                <w:rFonts w:ascii="宋体" w:hAnsi="宋体" w:eastAsia="宋体" w:cs="宋体"/>
                <w:sz w:val="24"/>
                <w:szCs w:val="24"/>
              </w:rPr>
            </w:pPr>
            <w:r>
              <w:rPr>
                <w:rFonts w:ascii="宋体" w:hAnsi="宋体" w:eastAsia="宋体" w:cs="宋体"/>
                <w:spacing w:val="-2"/>
                <w:sz w:val="24"/>
                <w:szCs w:val="24"/>
              </w:rPr>
              <w:t>水土保持设施验收报告</w:t>
            </w:r>
            <w:r>
              <w:rPr>
                <w:rFonts w:ascii="宋体" w:hAnsi="宋体" w:eastAsia="宋体" w:cs="宋体"/>
                <w:spacing w:val="7"/>
                <w:sz w:val="24"/>
                <w:szCs w:val="24"/>
              </w:rPr>
              <w:t xml:space="preserve"> </w:t>
            </w:r>
            <w:r>
              <w:rPr>
                <w:rFonts w:ascii="宋体" w:hAnsi="宋体" w:eastAsia="宋体" w:cs="宋体"/>
                <w:spacing w:val="-3"/>
                <w:sz w:val="24"/>
                <w:szCs w:val="24"/>
              </w:rPr>
              <w:t>编制单位</w:t>
            </w:r>
          </w:p>
        </w:tc>
        <w:tc>
          <w:tcPr>
            <w:tcW w:w="6019" w:type="dxa"/>
            <w:gridSpan w:val="3"/>
            <w:vAlign w:val="top"/>
          </w:tcPr>
          <w:p>
            <w:pPr>
              <w:spacing w:line="272" w:lineRule="auto"/>
              <w:rPr>
                <w:rFonts w:ascii="宋体"/>
                <w:sz w:val="21"/>
              </w:rPr>
            </w:pPr>
          </w:p>
          <w:p>
            <w:pPr>
              <w:spacing w:before="78" w:line="189" w:lineRule="auto"/>
              <w:ind w:firstLine="1285" w:firstLineChars="540"/>
              <w:rPr>
                <w:rFonts w:ascii="仿宋" w:hAnsi="仿宋" w:eastAsia="仿宋" w:cs="仿宋"/>
                <w:sz w:val="24"/>
                <w:szCs w:val="24"/>
              </w:rPr>
            </w:pPr>
            <w:r>
              <w:rPr>
                <w:rFonts w:hint="eastAsia" w:ascii="仿宋" w:hAnsi="仿宋" w:eastAsia="仿宋" w:cs="仿宋"/>
                <w:spacing w:val="-1"/>
                <w:sz w:val="24"/>
                <w:szCs w:val="24"/>
                <w:lang w:val="en-US" w:eastAsia="zh-CN"/>
              </w:rPr>
              <w:t>湖南蓝博湾地理信息科技有限</w:t>
            </w:r>
            <w:r>
              <w:rPr>
                <w:rFonts w:ascii="仿宋" w:hAnsi="仿宋" w:eastAsia="仿宋" w:cs="仿宋"/>
                <w:spacing w:val="-1"/>
                <w:sz w:val="24"/>
                <w:szCs w:val="24"/>
              </w:rPr>
              <w:t>公司</w:t>
            </w:r>
          </w:p>
        </w:tc>
      </w:tr>
    </w:tbl>
    <w:p>
      <w:pPr>
        <w:rPr>
          <w:rFonts w:ascii="宋体"/>
          <w:sz w:val="21"/>
        </w:rPr>
      </w:pPr>
    </w:p>
    <w:p>
      <w:pPr>
        <w:sectPr>
          <w:pgSz w:w="11905" w:h="16840"/>
          <w:pgMar w:top="1440" w:right="1440" w:bottom="1440" w:left="1440" w:header="0" w:footer="0" w:gutter="0"/>
          <w:cols w:space="720" w:num="1"/>
        </w:sectPr>
      </w:pPr>
    </w:p>
    <w:p>
      <w:pPr>
        <w:spacing w:before="171" w:line="187" w:lineRule="auto"/>
        <w:ind w:firstLine="887"/>
        <w:rPr>
          <w:rFonts w:ascii="新宋体" w:hAnsi="新宋体" w:eastAsia="新宋体" w:cs="新宋体"/>
          <w:sz w:val="30"/>
          <w:szCs w:val="30"/>
        </w:rPr>
      </w:pPr>
      <w:r>
        <w:rPr>
          <w:rFonts w:ascii="新宋体" w:hAnsi="新宋体" w:eastAsia="新宋体" w:cs="新宋体"/>
          <w:spacing w:val="-3"/>
          <w:sz w:val="30"/>
          <w:szCs w:val="30"/>
        </w:rPr>
        <w:t>二、验收意见</w:t>
      </w:r>
    </w:p>
    <w:p>
      <w:pPr>
        <w:spacing w:line="157" w:lineRule="exact"/>
      </w:pPr>
    </w:p>
    <w:tbl>
      <w:tblPr>
        <w:tblStyle w:val="29"/>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114" w:hRule="atLeast"/>
        </w:trPr>
        <w:tc>
          <w:tcPr>
            <w:tcW w:w="8842" w:type="dxa"/>
            <w:vAlign w:val="top"/>
          </w:tcPr>
          <w:p>
            <w:pPr>
              <w:spacing w:before="166" w:line="360" w:lineRule="auto"/>
              <w:ind w:left="127" w:right="107" w:firstLine="607"/>
              <w:rPr>
                <w:rFonts w:hint="eastAsia" w:ascii="仿宋" w:hAnsi="仿宋" w:eastAsia="仿宋" w:cs="仿宋"/>
                <w:color w:val="auto"/>
                <w:sz w:val="30"/>
                <w:szCs w:val="30"/>
              </w:rPr>
            </w:pPr>
            <w:r>
              <w:rPr>
                <w:rFonts w:hint="eastAsia" w:ascii="仿宋" w:hAnsi="仿宋" w:eastAsia="仿宋" w:cs="仿宋"/>
                <w:color w:val="auto"/>
                <w:spacing w:val="-8"/>
                <w:sz w:val="30"/>
                <w:szCs w:val="30"/>
                <w:lang w:val="en-US" w:eastAsia="zh-CN"/>
              </w:rPr>
              <w:t>衡阳市城市建设投资有限</w:t>
            </w:r>
            <w:r>
              <w:rPr>
                <w:rFonts w:hint="eastAsia" w:ascii="仿宋" w:hAnsi="仿宋" w:eastAsia="仿宋" w:cs="仿宋"/>
                <w:color w:val="auto"/>
                <w:spacing w:val="-8"/>
                <w:sz w:val="30"/>
                <w:szCs w:val="30"/>
              </w:rPr>
              <w:t>公司于</w:t>
            </w:r>
            <w:r>
              <w:rPr>
                <w:rFonts w:hint="eastAsia" w:ascii="仿宋" w:hAnsi="仿宋" w:eastAsia="仿宋" w:cs="仿宋"/>
                <w:color w:val="auto"/>
                <w:spacing w:val="-43"/>
                <w:sz w:val="30"/>
                <w:szCs w:val="30"/>
              </w:rPr>
              <w:t xml:space="preserve"> </w:t>
            </w:r>
            <w:r>
              <w:rPr>
                <w:rFonts w:hint="eastAsia" w:ascii="仿宋" w:hAnsi="仿宋" w:eastAsia="仿宋" w:cs="仿宋"/>
                <w:color w:val="auto"/>
                <w:spacing w:val="-8"/>
                <w:sz w:val="30"/>
                <w:szCs w:val="30"/>
              </w:rPr>
              <w:t>2021年1</w:t>
            </w:r>
            <w:r>
              <w:rPr>
                <w:rFonts w:hint="eastAsia" w:ascii="仿宋" w:hAnsi="仿宋" w:eastAsia="仿宋" w:cs="仿宋"/>
                <w:color w:val="auto"/>
                <w:spacing w:val="-8"/>
                <w:sz w:val="30"/>
                <w:szCs w:val="30"/>
                <w:lang w:val="en-US" w:eastAsia="zh-CN"/>
              </w:rPr>
              <w:t>2</w:t>
            </w:r>
            <w:r>
              <w:rPr>
                <w:rFonts w:hint="eastAsia" w:ascii="仿宋" w:hAnsi="仿宋" w:eastAsia="仿宋" w:cs="仿宋"/>
                <w:color w:val="auto"/>
                <w:spacing w:val="-8"/>
                <w:sz w:val="30"/>
                <w:szCs w:val="30"/>
              </w:rPr>
              <w:t>月</w:t>
            </w:r>
            <w:r>
              <w:rPr>
                <w:rFonts w:hint="eastAsia" w:ascii="仿宋" w:hAnsi="仿宋" w:eastAsia="仿宋" w:cs="仿宋"/>
                <w:color w:val="auto"/>
                <w:spacing w:val="-8"/>
                <w:sz w:val="30"/>
                <w:szCs w:val="30"/>
                <w:lang w:val="en-US" w:eastAsia="zh-CN"/>
              </w:rPr>
              <w:t>8日</w:t>
            </w:r>
            <w:r>
              <w:rPr>
                <w:rFonts w:hint="eastAsia" w:ascii="仿宋" w:hAnsi="仿宋" w:eastAsia="仿宋" w:cs="仿宋"/>
                <w:color w:val="auto"/>
                <w:spacing w:val="-8"/>
                <w:sz w:val="30"/>
                <w:szCs w:val="30"/>
              </w:rPr>
              <w:t>在湖南省</w:t>
            </w:r>
            <w:r>
              <w:rPr>
                <w:rFonts w:hint="eastAsia" w:ascii="仿宋" w:hAnsi="仿宋" w:eastAsia="仿宋" w:cs="仿宋"/>
                <w:color w:val="auto"/>
                <w:spacing w:val="-8"/>
                <w:sz w:val="30"/>
                <w:szCs w:val="30"/>
                <w:lang w:val="en-US" w:eastAsia="zh-CN"/>
              </w:rPr>
              <w:t>衡阳</w:t>
            </w:r>
            <w:r>
              <w:rPr>
                <w:rFonts w:hint="eastAsia" w:ascii="仿宋" w:hAnsi="仿宋" w:eastAsia="仿宋" w:cs="仿宋"/>
                <w:color w:val="auto"/>
                <w:spacing w:val="7"/>
                <w:sz w:val="30"/>
                <w:szCs w:val="30"/>
              </w:rPr>
              <w:t>市组织</w:t>
            </w:r>
            <w:r>
              <w:rPr>
                <w:rFonts w:hint="eastAsia" w:ascii="仿宋" w:hAnsi="仿宋" w:eastAsia="仿宋" w:cs="仿宋"/>
                <w:color w:val="auto"/>
                <w:spacing w:val="7"/>
                <w:sz w:val="30"/>
                <w:szCs w:val="30"/>
                <w:lang w:val="en-US" w:eastAsia="zh-CN"/>
              </w:rPr>
              <w:t>华天路新建工程</w:t>
            </w:r>
            <w:r>
              <w:rPr>
                <w:rFonts w:hint="eastAsia" w:ascii="仿宋" w:hAnsi="仿宋" w:eastAsia="仿宋" w:cs="仿宋"/>
                <w:color w:val="auto"/>
                <w:spacing w:val="7"/>
                <w:sz w:val="30"/>
                <w:szCs w:val="30"/>
              </w:rPr>
              <w:t>项</w:t>
            </w:r>
            <w:r>
              <w:rPr>
                <w:rFonts w:hint="eastAsia" w:ascii="仿宋" w:hAnsi="仿宋" w:eastAsia="仿宋" w:cs="仿宋"/>
                <w:color w:val="auto"/>
                <w:spacing w:val="-9"/>
                <w:sz w:val="30"/>
                <w:szCs w:val="30"/>
              </w:rPr>
              <w:t>目水土保持设施验收会议。参会单位有</w:t>
            </w:r>
            <w:r>
              <w:rPr>
                <w:rFonts w:hint="eastAsia" w:ascii="仿宋" w:hAnsi="仿宋" w:eastAsia="仿宋" w:cs="仿宋"/>
                <w:color w:val="auto"/>
                <w:spacing w:val="-8"/>
                <w:sz w:val="30"/>
                <w:szCs w:val="30"/>
                <w:lang w:val="en-US" w:eastAsia="zh-CN"/>
              </w:rPr>
              <w:t>衡阳市城市建设投资</w:t>
            </w:r>
            <w:r>
              <w:rPr>
                <w:rFonts w:hint="eastAsia" w:ascii="仿宋" w:hAnsi="仿宋" w:eastAsia="仿宋" w:cs="仿宋"/>
                <w:color w:val="auto"/>
                <w:spacing w:val="-9"/>
                <w:sz w:val="30"/>
                <w:szCs w:val="30"/>
              </w:rPr>
              <w:t>有限公司</w:t>
            </w:r>
            <w:r>
              <w:rPr>
                <w:rFonts w:hint="eastAsia" w:ascii="仿宋" w:hAnsi="仿宋" w:eastAsia="仿宋" w:cs="仿宋"/>
                <w:color w:val="auto"/>
                <w:spacing w:val="-5"/>
                <w:sz w:val="30"/>
                <w:szCs w:val="30"/>
              </w:rPr>
              <w:t>（建设单位）、湖南</w:t>
            </w:r>
            <w:r>
              <w:rPr>
                <w:rFonts w:hint="eastAsia" w:ascii="仿宋" w:hAnsi="仿宋" w:eastAsia="仿宋" w:cs="仿宋"/>
                <w:color w:val="auto"/>
                <w:spacing w:val="-5"/>
                <w:sz w:val="30"/>
                <w:szCs w:val="30"/>
                <w:lang w:val="en-US" w:eastAsia="zh-CN"/>
              </w:rPr>
              <w:t>华意项目管理有限</w:t>
            </w:r>
            <w:r>
              <w:rPr>
                <w:rFonts w:hint="eastAsia" w:ascii="仿宋" w:hAnsi="仿宋" w:eastAsia="仿宋" w:cs="仿宋"/>
                <w:color w:val="auto"/>
                <w:spacing w:val="-5"/>
                <w:sz w:val="30"/>
                <w:szCs w:val="30"/>
              </w:rPr>
              <w:t>公司（水土保持监</w:t>
            </w:r>
            <w:r>
              <w:rPr>
                <w:rFonts w:hint="eastAsia" w:ascii="仿宋" w:hAnsi="仿宋" w:eastAsia="仿宋" w:cs="仿宋"/>
                <w:color w:val="auto"/>
                <w:spacing w:val="-6"/>
                <w:sz w:val="30"/>
                <w:szCs w:val="30"/>
              </w:rPr>
              <w:t>理及监测单位）、湖南</w:t>
            </w:r>
            <w:r>
              <w:rPr>
                <w:rFonts w:hint="eastAsia" w:ascii="仿宋" w:hAnsi="仿宋" w:eastAsia="仿宋" w:cs="仿宋"/>
                <w:color w:val="auto"/>
                <w:spacing w:val="-6"/>
                <w:sz w:val="30"/>
                <w:szCs w:val="30"/>
                <w:lang w:val="en-US" w:eastAsia="zh-CN"/>
              </w:rPr>
              <w:t>蓝博湾地理信息科技有限</w:t>
            </w:r>
            <w:r>
              <w:rPr>
                <w:rFonts w:hint="eastAsia" w:ascii="仿宋" w:hAnsi="仿宋" w:eastAsia="仿宋" w:cs="仿宋"/>
                <w:color w:val="auto"/>
                <w:spacing w:val="-6"/>
                <w:sz w:val="30"/>
                <w:szCs w:val="30"/>
              </w:rPr>
              <w:t>有限公司</w:t>
            </w:r>
            <w:r>
              <w:rPr>
                <w:rFonts w:hint="eastAsia" w:ascii="仿宋" w:hAnsi="仿宋" w:eastAsia="仿宋" w:cs="仿宋"/>
                <w:color w:val="auto"/>
                <w:spacing w:val="-5"/>
                <w:sz w:val="30"/>
                <w:szCs w:val="30"/>
              </w:rPr>
              <w:t>（水土保持方案报告编制和验收报告编制单位</w:t>
            </w:r>
            <w:r>
              <w:rPr>
                <w:rFonts w:hint="eastAsia" w:ascii="仿宋" w:hAnsi="仿宋" w:eastAsia="仿宋" w:cs="仿宋"/>
                <w:color w:val="auto"/>
                <w:spacing w:val="8"/>
                <w:sz w:val="30"/>
                <w:szCs w:val="30"/>
              </w:rPr>
              <w:t>），</w:t>
            </w:r>
            <w:r>
              <w:rPr>
                <w:rFonts w:hint="eastAsia" w:ascii="仿宋" w:hAnsi="仿宋" w:eastAsia="仿宋" w:cs="仿宋"/>
                <w:color w:val="auto"/>
                <w:spacing w:val="8"/>
                <w:sz w:val="30"/>
                <w:szCs w:val="30"/>
                <w:lang w:val="en-US" w:eastAsia="zh-CN"/>
              </w:rPr>
              <w:t>衡阳市规划设计院</w:t>
            </w:r>
            <w:r>
              <w:rPr>
                <w:rFonts w:hint="eastAsia" w:ascii="仿宋" w:hAnsi="仿宋" w:eastAsia="仿宋" w:cs="仿宋"/>
                <w:color w:val="auto"/>
                <w:spacing w:val="-5"/>
                <w:sz w:val="30"/>
                <w:szCs w:val="30"/>
              </w:rPr>
              <w:t>（总承包单位）、</w:t>
            </w:r>
            <w:r>
              <w:rPr>
                <w:rFonts w:hint="eastAsia" w:ascii="仿宋" w:hAnsi="仿宋" w:eastAsia="仿宋" w:cs="仿宋"/>
                <w:color w:val="auto"/>
                <w:spacing w:val="-5"/>
                <w:sz w:val="30"/>
                <w:szCs w:val="30"/>
                <w:lang w:val="en-US" w:eastAsia="zh-CN"/>
              </w:rPr>
              <w:t>湖南安泰项目管理有限公司</w:t>
            </w:r>
            <w:r>
              <w:rPr>
                <w:rFonts w:hint="eastAsia" w:ascii="仿宋" w:hAnsi="仿宋" w:eastAsia="仿宋" w:cs="仿宋"/>
                <w:color w:val="auto"/>
                <w:spacing w:val="-5"/>
                <w:sz w:val="30"/>
                <w:szCs w:val="30"/>
              </w:rPr>
              <w:t>（主体监理单位）、</w:t>
            </w:r>
            <w:r>
              <w:rPr>
                <w:rFonts w:hint="eastAsia" w:ascii="仿宋" w:hAnsi="仿宋" w:eastAsia="仿宋" w:cs="仿宋"/>
                <w:color w:val="auto"/>
                <w:spacing w:val="-5"/>
                <w:sz w:val="30"/>
                <w:szCs w:val="30"/>
                <w:lang w:val="en-US" w:eastAsia="zh-CN"/>
              </w:rPr>
              <w:t>湖南顺天集团建设有限公司</w:t>
            </w:r>
            <w:r>
              <w:rPr>
                <w:rFonts w:hint="eastAsia" w:ascii="仿宋" w:hAnsi="仿宋" w:eastAsia="仿宋" w:cs="仿宋"/>
                <w:color w:val="auto"/>
                <w:spacing w:val="-5"/>
                <w:sz w:val="30"/>
                <w:szCs w:val="30"/>
              </w:rPr>
              <w:t>（施工单</w:t>
            </w:r>
            <w:r>
              <w:rPr>
                <w:rFonts w:hint="eastAsia" w:ascii="仿宋" w:hAnsi="仿宋" w:eastAsia="仿宋" w:cs="仿宋"/>
                <w:color w:val="auto"/>
                <w:spacing w:val="-6"/>
                <w:sz w:val="30"/>
                <w:szCs w:val="30"/>
              </w:rPr>
              <w:t>位）等单位。参会人员共计</w:t>
            </w:r>
            <w:r>
              <w:rPr>
                <w:rFonts w:hint="eastAsia" w:ascii="仿宋" w:hAnsi="仿宋" w:eastAsia="仿宋" w:cs="仿宋"/>
                <w:color w:val="auto"/>
                <w:spacing w:val="-32"/>
                <w:sz w:val="30"/>
                <w:szCs w:val="30"/>
              </w:rPr>
              <w:t xml:space="preserve"> </w:t>
            </w:r>
            <w:r>
              <w:rPr>
                <w:rFonts w:hint="eastAsia" w:ascii="仿宋" w:hAnsi="仿宋" w:eastAsia="仿宋" w:cs="仿宋"/>
                <w:color w:val="auto"/>
                <w:spacing w:val="-6"/>
                <w:sz w:val="30"/>
                <w:szCs w:val="30"/>
              </w:rPr>
              <w:t>13</w:t>
            </w:r>
            <w:r>
              <w:rPr>
                <w:rFonts w:hint="eastAsia" w:ascii="仿宋" w:hAnsi="仿宋" w:eastAsia="仿宋" w:cs="仿宋"/>
                <w:color w:val="auto"/>
                <w:spacing w:val="24"/>
                <w:w w:val="101"/>
                <w:sz w:val="30"/>
                <w:szCs w:val="30"/>
              </w:rPr>
              <w:t xml:space="preserve"> </w:t>
            </w:r>
            <w:r>
              <w:rPr>
                <w:rFonts w:hint="eastAsia" w:ascii="仿宋" w:hAnsi="仿宋" w:eastAsia="仿宋" w:cs="仿宋"/>
                <w:color w:val="auto"/>
                <w:spacing w:val="-6"/>
                <w:sz w:val="30"/>
                <w:szCs w:val="30"/>
              </w:rPr>
              <w:t>人。</w:t>
            </w:r>
          </w:p>
          <w:p>
            <w:pPr>
              <w:spacing w:line="360" w:lineRule="auto"/>
              <w:ind w:left="128" w:firstLine="597"/>
              <w:rPr>
                <w:rFonts w:hint="eastAsia" w:ascii="仿宋" w:hAnsi="仿宋" w:eastAsia="仿宋" w:cs="仿宋"/>
                <w:color w:val="auto"/>
                <w:sz w:val="30"/>
                <w:szCs w:val="30"/>
              </w:rPr>
            </w:pPr>
            <w:r>
              <w:rPr>
                <w:rFonts w:hint="eastAsia" w:ascii="仿宋" w:hAnsi="仿宋" w:eastAsia="仿宋" w:cs="仿宋"/>
                <w:color w:val="auto"/>
                <w:spacing w:val="-4"/>
                <w:sz w:val="30"/>
                <w:szCs w:val="30"/>
              </w:rPr>
              <w:t>验收组成员由参会的相关单位共计11人组成，其中，建设单</w:t>
            </w:r>
            <w:r>
              <w:rPr>
                <w:rFonts w:hint="eastAsia" w:ascii="仿宋" w:hAnsi="仿宋" w:eastAsia="仿宋" w:cs="仿宋"/>
                <w:color w:val="auto"/>
                <w:spacing w:val="-8"/>
                <w:sz w:val="30"/>
                <w:szCs w:val="30"/>
              </w:rPr>
              <w:t>位4人，方案及验收报告编制单位</w:t>
            </w:r>
            <w:r>
              <w:rPr>
                <w:rFonts w:hint="eastAsia" w:ascii="仿宋" w:hAnsi="仿宋" w:eastAsia="仿宋" w:cs="仿宋"/>
                <w:color w:val="auto"/>
                <w:spacing w:val="-64"/>
                <w:sz w:val="30"/>
                <w:szCs w:val="30"/>
              </w:rPr>
              <w:t xml:space="preserve"> </w:t>
            </w:r>
            <w:r>
              <w:rPr>
                <w:rFonts w:hint="eastAsia" w:ascii="仿宋" w:hAnsi="仿宋" w:eastAsia="仿宋" w:cs="仿宋"/>
                <w:color w:val="auto"/>
                <w:spacing w:val="-8"/>
                <w:sz w:val="30"/>
                <w:szCs w:val="30"/>
              </w:rPr>
              <w:t>3人，水土保持监理单位</w:t>
            </w:r>
            <w:r>
              <w:rPr>
                <w:rFonts w:hint="eastAsia" w:ascii="仿宋" w:hAnsi="仿宋" w:eastAsia="仿宋" w:cs="仿宋"/>
                <w:color w:val="auto"/>
                <w:spacing w:val="-41"/>
                <w:sz w:val="30"/>
                <w:szCs w:val="30"/>
              </w:rPr>
              <w:t xml:space="preserve"> </w:t>
            </w:r>
            <w:r>
              <w:rPr>
                <w:rFonts w:hint="eastAsia" w:ascii="仿宋" w:hAnsi="仿宋" w:eastAsia="仿宋" w:cs="仿宋"/>
                <w:color w:val="auto"/>
                <w:spacing w:val="-8"/>
                <w:sz w:val="30"/>
                <w:szCs w:val="30"/>
              </w:rPr>
              <w:t>1人，</w:t>
            </w:r>
            <w:r>
              <w:rPr>
                <w:rFonts w:hint="eastAsia" w:ascii="仿宋" w:hAnsi="仿宋" w:eastAsia="仿宋" w:cs="仿宋"/>
                <w:color w:val="auto"/>
                <w:spacing w:val="-14"/>
                <w:w w:val="94"/>
                <w:sz w:val="30"/>
                <w:szCs w:val="30"/>
              </w:rPr>
              <w:t>总承包单位1人，主体监理单位1人，施工单位1人（名单附后）。</w:t>
            </w:r>
          </w:p>
          <w:p>
            <w:pPr>
              <w:spacing w:line="360" w:lineRule="auto"/>
              <w:ind w:left="127" w:right="107" w:firstLine="599"/>
              <w:rPr>
                <w:rFonts w:ascii="仿宋" w:hAnsi="仿宋" w:eastAsia="仿宋" w:cs="仿宋"/>
                <w:color w:val="auto"/>
                <w:sz w:val="30"/>
                <w:szCs w:val="30"/>
              </w:rPr>
            </w:pPr>
            <w:r>
              <w:rPr>
                <w:rFonts w:hint="eastAsia" w:ascii="仿宋" w:hAnsi="仿宋" w:eastAsia="仿宋" w:cs="仿宋"/>
                <w:color w:val="auto"/>
                <w:spacing w:val="-10"/>
                <w:sz w:val="30"/>
                <w:szCs w:val="30"/>
              </w:rPr>
              <w:t>验收组和参会人员先查看现场照片和查阅资料，听取了建设单</w:t>
            </w:r>
            <w:r>
              <w:rPr>
                <w:rFonts w:hint="eastAsia" w:ascii="仿宋" w:hAnsi="仿宋" w:eastAsia="仿宋" w:cs="仿宋"/>
                <w:color w:val="auto"/>
                <w:spacing w:val="-11"/>
                <w:sz w:val="30"/>
                <w:szCs w:val="30"/>
              </w:rPr>
              <w:t>位、总承包单位、施工单位对工程建设情况的相关介绍，水土保持方案编制单位、监测单位、监理单位进行了相关汇报，验收单位汇</w:t>
            </w:r>
            <w:r>
              <w:rPr>
                <w:rFonts w:hint="eastAsia" w:ascii="仿宋" w:hAnsi="仿宋" w:eastAsia="仿宋" w:cs="仿宋"/>
                <w:color w:val="auto"/>
                <w:sz w:val="30"/>
                <w:szCs w:val="30"/>
              </w:rPr>
              <w:t xml:space="preserve"> </w:t>
            </w:r>
            <w:r>
              <w:rPr>
                <w:rFonts w:hint="eastAsia" w:ascii="仿宋" w:hAnsi="仿宋" w:eastAsia="仿宋" w:cs="仿宋"/>
                <w:color w:val="auto"/>
                <w:spacing w:val="-17"/>
                <w:sz w:val="30"/>
                <w:szCs w:val="30"/>
              </w:rPr>
              <w:t>报了验收报告编制工作及成果，经过验收组讨论，</w:t>
            </w:r>
            <w:r>
              <w:rPr>
                <w:rFonts w:hint="eastAsia" w:ascii="仿宋" w:hAnsi="仿宋" w:eastAsia="仿宋" w:cs="仿宋"/>
                <w:color w:val="auto"/>
                <w:spacing w:val="44"/>
                <w:sz w:val="30"/>
                <w:szCs w:val="30"/>
              </w:rPr>
              <w:t xml:space="preserve"> </w:t>
            </w:r>
            <w:r>
              <w:rPr>
                <w:rFonts w:hint="eastAsia" w:ascii="仿宋" w:hAnsi="仿宋" w:eastAsia="仿宋" w:cs="仿宋"/>
                <w:color w:val="auto"/>
                <w:spacing w:val="-17"/>
                <w:sz w:val="30"/>
                <w:szCs w:val="30"/>
              </w:rPr>
              <w:t>形成验收意见如</w:t>
            </w:r>
            <w:r>
              <w:rPr>
                <w:rFonts w:hint="eastAsia" w:ascii="仿宋" w:hAnsi="仿宋" w:eastAsia="仿宋" w:cs="仿宋"/>
                <w:color w:val="auto"/>
                <w:sz w:val="30"/>
                <w:szCs w:val="30"/>
              </w:rPr>
              <w:t xml:space="preserve"> </w:t>
            </w:r>
            <w:r>
              <w:rPr>
                <w:rFonts w:hint="eastAsia" w:ascii="仿宋" w:hAnsi="仿宋" w:eastAsia="仿宋" w:cs="仿宋"/>
                <w:color w:val="auto"/>
                <w:spacing w:val="-22"/>
                <w:sz w:val="30"/>
                <w:szCs w:val="30"/>
              </w:rPr>
              <w:t>下：</w:t>
            </w:r>
          </w:p>
          <w:p>
            <w:pPr>
              <w:spacing w:line="360" w:lineRule="auto"/>
              <w:ind w:firstLine="734"/>
              <w:outlineLvl w:val="0"/>
              <w:rPr>
                <w:rFonts w:ascii="仿宋" w:hAnsi="仿宋" w:eastAsia="仿宋" w:cs="仿宋"/>
                <w:color w:val="auto"/>
                <w:sz w:val="30"/>
                <w:szCs w:val="30"/>
              </w:rPr>
            </w:pPr>
            <w:r>
              <w:rPr>
                <w:rFonts w:ascii="仿宋" w:hAnsi="仿宋" w:eastAsia="仿宋" w:cs="仿宋"/>
                <w:color w:val="auto"/>
                <w:spacing w:val="-3"/>
                <w:sz w:val="30"/>
                <w:szCs w:val="30"/>
                <w14:textOutline w14:w="3810" w14:cap="flat" w14:cmpd="sng">
                  <w14:solidFill>
                    <w14:srgbClr w14:val="000000"/>
                  </w14:solidFill>
                  <w14:prstDash w14:val="solid"/>
                  <w14:miter w14:val="0"/>
                </w14:textOutline>
              </w:rPr>
              <w:t>一、项目概况</w:t>
            </w:r>
          </w:p>
          <w:p>
            <w:pPr>
              <w:spacing w:before="249" w:line="360" w:lineRule="auto"/>
              <w:ind w:left="133" w:right="78" w:firstLine="595"/>
              <w:rPr>
                <w:rFonts w:hint="default" w:ascii="仿宋" w:hAnsi="仿宋" w:eastAsia="仿宋" w:cs="仿宋"/>
                <w:color w:val="auto"/>
                <w:sz w:val="30"/>
                <w:szCs w:val="30"/>
                <w:lang w:val="en-US"/>
              </w:rPr>
            </w:pPr>
            <w:r>
              <w:rPr>
                <w:rFonts w:ascii="仿宋" w:hAnsi="仿宋" w:eastAsia="仿宋" w:cs="仿宋"/>
                <w:color w:val="auto"/>
                <w:spacing w:val="-4"/>
                <w:sz w:val="30"/>
                <w:szCs w:val="30"/>
              </w:rPr>
              <w:t>项目建设规模为</w:t>
            </w:r>
            <w:r>
              <w:rPr>
                <w:rFonts w:hint="eastAsia" w:ascii="仿宋" w:hAnsi="仿宋" w:eastAsia="仿宋" w:cs="仿宋"/>
                <w:color w:val="auto"/>
                <w:spacing w:val="-4"/>
                <w:sz w:val="30"/>
                <w:szCs w:val="30"/>
                <w:lang w:val="en-US" w:eastAsia="zh-CN"/>
              </w:rPr>
              <w:t>工程需开挖</w:t>
            </w:r>
            <w:r>
              <w:rPr>
                <w:rFonts w:hint="default" w:ascii="Times New Roman" w:hAnsi="Times New Roman" w:eastAsia="仿宋" w:cs="Times New Roman"/>
                <w:color w:val="auto"/>
                <w:spacing w:val="-4"/>
                <w:sz w:val="30"/>
                <w:szCs w:val="30"/>
                <w:lang w:val="en-US" w:eastAsia="zh-CN"/>
              </w:rPr>
              <w:t>5.02</w:t>
            </w:r>
            <w:r>
              <w:rPr>
                <w:rFonts w:hint="eastAsia" w:ascii="仿宋" w:hAnsi="仿宋" w:eastAsia="仿宋" w:cs="仿宋"/>
                <w:color w:val="auto"/>
                <w:spacing w:val="-4"/>
                <w:sz w:val="30"/>
                <w:szCs w:val="30"/>
                <w:lang w:val="en-US" w:eastAsia="zh-CN"/>
              </w:rPr>
              <w:t>万m³，填方总量</w:t>
            </w:r>
            <w:r>
              <w:rPr>
                <w:rFonts w:hint="default" w:ascii="Times New Roman" w:hAnsi="Times New Roman" w:eastAsia="仿宋" w:cs="Times New Roman"/>
                <w:color w:val="auto"/>
                <w:spacing w:val="-4"/>
                <w:sz w:val="30"/>
                <w:szCs w:val="30"/>
                <w:lang w:val="en-US" w:eastAsia="zh-CN"/>
              </w:rPr>
              <w:t>12.74</w:t>
            </w:r>
            <w:r>
              <w:rPr>
                <w:rFonts w:hint="eastAsia" w:ascii="仿宋" w:hAnsi="仿宋" w:eastAsia="仿宋" w:cs="仿宋"/>
                <w:color w:val="auto"/>
                <w:spacing w:val="-4"/>
                <w:sz w:val="30"/>
                <w:szCs w:val="30"/>
                <w:lang w:val="en-US" w:eastAsia="zh-CN"/>
              </w:rPr>
              <w:t>万m³，借方</w:t>
            </w:r>
            <w:r>
              <w:rPr>
                <w:rFonts w:hint="default" w:ascii="Times New Roman" w:hAnsi="Times New Roman" w:eastAsia="仿宋" w:cs="Times New Roman"/>
                <w:color w:val="auto"/>
                <w:spacing w:val="-4"/>
                <w:sz w:val="30"/>
                <w:szCs w:val="30"/>
                <w:lang w:val="en-US" w:eastAsia="zh-CN"/>
              </w:rPr>
              <w:t>12.74</w:t>
            </w:r>
            <w:r>
              <w:rPr>
                <w:rFonts w:hint="eastAsia" w:ascii="仿宋" w:hAnsi="仿宋" w:eastAsia="仿宋" w:cs="仿宋"/>
                <w:color w:val="auto"/>
                <w:spacing w:val="-4"/>
                <w:sz w:val="30"/>
                <w:szCs w:val="30"/>
                <w:lang w:val="en-US" w:eastAsia="zh-CN"/>
              </w:rPr>
              <w:t>万m³，弃方总量</w:t>
            </w:r>
            <w:r>
              <w:rPr>
                <w:rFonts w:hint="default" w:ascii="Times New Roman" w:hAnsi="Times New Roman" w:eastAsia="仿宋" w:cs="Times New Roman"/>
                <w:color w:val="auto"/>
                <w:spacing w:val="-4"/>
                <w:sz w:val="30"/>
                <w:szCs w:val="30"/>
                <w:lang w:val="en-US" w:eastAsia="zh-CN"/>
              </w:rPr>
              <w:t>5.02</w:t>
            </w:r>
            <w:r>
              <w:rPr>
                <w:rFonts w:hint="eastAsia" w:ascii="仿宋" w:hAnsi="仿宋" w:eastAsia="仿宋" w:cs="仿宋"/>
                <w:color w:val="auto"/>
                <w:spacing w:val="-4"/>
                <w:sz w:val="30"/>
                <w:szCs w:val="30"/>
                <w:lang w:val="en-US" w:eastAsia="zh-CN"/>
              </w:rPr>
              <w:t>万m³。在临时堆土区临时堆放保存表土</w:t>
            </w:r>
            <w:r>
              <w:rPr>
                <w:rFonts w:hint="default" w:ascii="Times New Roman" w:hAnsi="Times New Roman" w:eastAsia="仿宋" w:cs="Times New Roman"/>
                <w:color w:val="auto"/>
                <w:spacing w:val="-4"/>
                <w:sz w:val="30"/>
                <w:szCs w:val="30"/>
                <w:lang w:val="en-US" w:eastAsia="zh-CN"/>
              </w:rPr>
              <w:t>0.74</w:t>
            </w:r>
            <w:r>
              <w:rPr>
                <w:rFonts w:hint="eastAsia" w:ascii="仿宋" w:hAnsi="仿宋" w:eastAsia="仿宋" w:cs="仿宋"/>
                <w:color w:val="auto"/>
                <w:spacing w:val="-4"/>
                <w:sz w:val="30"/>
                <w:szCs w:val="30"/>
                <w:lang w:val="en-US" w:eastAsia="zh-CN"/>
              </w:rPr>
              <w:t>万m³。沿线弃渣运至Z1弃渣场。主要原地貌类型为水塘、经济林、荒地，分别约占工程占地总面积的</w:t>
            </w:r>
            <w:r>
              <w:rPr>
                <w:rFonts w:hint="default" w:ascii="Times New Roman" w:hAnsi="Times New Roman" w:eastAsia="仿宋" w:cs="Times New Roman"/>
                <w:color w:val="auto"/>
                <w:spacing w:val="-4"/>
                <w:sz w:val="30"/>
                <w:szCs w:val="30"/>
                <w:lang w:val="en-US" w:eastAsia="zh-CN"/>
              </w:rPr>
              <w:t>19.74</w:t>
            </w:r>
            <w:r>
              <w:rPr>
                <w:rFonts w:hint="eastAsia" w:ascii="仿宋" w:hAnsi="仿宋" w:eastAsia="仿宋" w:cs="仿宋"/>
                <w:color w:val="auto"/>
                <w:spacing w:val="-4"/>
                <w:sz w:val="30"/>
                <w:szCs w:val="30"/>
                <w:lang w:val="en-US" w:eastAsia="zh-CN"/>
              </w:rPr>
              <w:t>%、</w:t>
            </w:r>
            <w:r>
              <w:rPr>
                <w:rFonts w:hint="default" w:ascii="Times New Roman" w:hAnsi="Times New Roman" w:eastAsia="仿宋" w:cs="Times New Roman"/>
                <w:color w:val="auto"/>
                <w:spacing w:val="-4"/>
                <w:sz w:val="30"/>
                <w:szCs w:val="30"/>
                <w:lang w:val="en-US" w:eastAsia="zh-CN"/>
              </w:rPr>
              <w:t>21.03</w:t>
            </w:r>
            <w:r>
              <w:rPr>
                <w:rFonts w:hint="eastAsia" w:ascii="仿宋" w:hAnsi="仿宋" w:eastAsia="仿宋" w:cs="仿宋"/>
                <w:color w:val="auto"/>
                <w:spacing w:val="-4"/>
                <w:sz w:val="30"/>
                <w:szCs w:val="30"/>
                <w:lang w:val="en-US" w:eastAsia="zh-CN"/>
              </w:rPr>
              <w:t>%、</w:t>
            </w:r>
            <w:r>
              <w:rPr>
                <w:rFonts w:hint="default" w:ascii="Times New Roman" w:hAnsi="Times New Roman" w:eastAsia="仿宋" w:cs="Times New Roman"/>
                <w:color w:val="auto"/>
                <w:spacing w:val="-4"/>
                <w:sz w:val="30"/>
                <w:szCs w:val="30"/>
                <w:lang w:val="en-US" w:eastAsia="zh-CN"/>
              </w:rPr>
              <w:t>53.23</w:t>
            </w:r>
            <w:r>
              <w:rPr>
                <w:rFonts w:hint="eastAsia" w:ascii="Times New Roman" w:hAnsi="Times New Roman" w:eastAsia="仿宋" w:cs="Times New Roman"/>
                <w:color w:val="auto"/>
                <w:spacing w:val="-4"/>
                <w:sz w:val="30"/>
                <w:szCs w:val="30"/>
                <w:lang w:val="en-US" w:eastAsia="zh-CN"/>
              </w:rPr>
              <w:t>%；总占地面积中，永久占地5.21hm</w:t>
            </w:r>
            <w:r>
              <w:rPr>
                <w:rFonts w:hint="eastAsia" w:ascii="Times New Roman" w:hAnsi="Times New Roman" w:eastAsia="仿宋" w:cs="Times New Roman"/>
                <w:color w:val="auto"/>
                <w:spacing w:val="-4"/>
                <w:sz w:val="30"/>
                <w:szCs w:val="30"/>
                <w:vertAlign w:val="superscript"/>
                <w:lang w:val="en-US" w:eastAsia="zh-CN"/>
              </w:rPr>
              <w:t>2</w:t>
            </w:r>
            <w:r>
              <w:rPr>
                <w:rFonts w:hint="eastAsia" w:ascii="Times New Roman" w:hAnsi="Times New Roman" w:eastAsia="仿宋" w:cs="Times New Roman"/>
                <w:color w:val="auto"/>
                <w:spacing w:val="-4"/>
                <w:sz w:val="30"/>
                <w:szCs w:val="30"/>
                <w:vertAlign w:val="baseline"/>
                <w:lang w:val="en-US" w:eastAsia="zh-CN"/>
              </w:rPr>
              <w:t>，临时占地3.3hm</w:t>
            </w:r>
            <w:r>
              <w:rPr>
                <w:rFonts w:hint="eastAsia" w:ascii="Times New Roman" w:hAnsi="Times New Roman" w:eastAsia="仿宋" w:cs="Times New Roman"/>
                <w:color w:val="auto"/>
                <w:spacing w:val="-4"/>
                <w:sz w:val="30"/>
                <w:szCs w:val="30"/>
                <w:vertAlign w:val="superscript"/>
                <w:lang w:val="en-US" w:eastAsia="zh-CN"/>
              </w:rPr>
              <w:t>2</w:t>
            </w:r>
            <w:r>
              <w:rPr>
                <w:rFonts w:hint="eastAsia" w:ascii="Times New Roman" w:hAnsi="Times New Roman" w:eastAsia="仿宋" w:cs="Times New Roman"/>
                <w:color w:val="auto"/>
                <w:spacing w:val="-4"/>
                <w:sz w:val="30"/>
                <w:szCs w:val="30"/>
                <w:vertAlign w:val="baseline"/>
                <w:lang w:val="en-US" w:eastAsia="zh-CN"/>
              </w:rPr>
              <w:t>。建设内容包括</w:t>
            </w:r>
          </w:p>
        </w:tc>
      </w:tr>
    </w:tbl>
    <w:p>
      <w:pPr>
        <w:sectPr>
          <w:pgSz w:w="11905" w:h="16840"/>
          <w:pgMar w:top="1440" w:right="1440" w:bottom="1440" w:left="1440" w:header="0" w:footer="0" w:gutter="0"/>
          <w:cols w:space="720" w:num="1"/>
        </w:sectPr>
      </w:pPr>
    </w:p>
    <w:p>
      <w:pPr>
        <w:spacing w:line="89" w:lineRule="auto"/>
        <w:rPr>
          <w:rFonts w:ascii="Arial"/>
          <w:sz w:val="2"/>
        </w:rPr>
      </w:pPr>
    </w:p>
    <w:tbl>
      <w:tblPr>
        <w:tblStyle w:val="29"/>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738" w:hRule="atLeast"/>
        </w:trPr>
        <w:tc>
          <w:tcPr>
            <w:tcW w:w="8842" w:type="dxa"/>
            <w:vAlign w:val="top"/>
          </w:tcPr>
          <w:p>
            <w:pPr>
              <w:spacing w:before="167" w:line="360" w:lineRule="auto"/>
              <w:ind w:left="125" w:right="108" w:firstLine="2"/>
              <w:jc w:val="both"/>
              <w:rPr>
                <w:rFonts w:ascii="仿宋" w:hAnsi="仿宋" w:eastAsia="仿宋" w:cs="仿宋"/>
                <w:sz w:val="30"/>
                <w:szCs w:val="30"/>
              </w:rPr>
            </w:pPr>
            <w:r>
              <w:rPr>
                <w:rFonts w:hint="eastAsia" w:ascii="仿宋" w:hAnsi="仿宋" w:eastAsia="仿宋" w:cs="仿宋"/>
                <w:spacing w:val="-4"/>
                <w:sz w:val="30"/>
                <w:szCs w:val="30"/>
                <w:lang w:val="en-US" w:eastAsia="zh-CN"/>
              </w:rPr>
              <w:t>道路工程、排水系统工程、路灯灯照明工程、交通管制设施、交通标志、标线及公交车停靠站等交通设施等工程。</w:t>
            </w:r>
            <w:r>
              <w:rPr>
                <w:rFonts w:ascii="仿宋" w:hAnsi="仿宋" w:eastAsia="仿宋" w:cs="仿宋"/>
                <w:spacing w:val="-2"/>
                <w:sz w:val="30"/>
                <w:szCs w:val="30"/>
              </w:rPr>
              <w:t>总占地面积</w:t>
            </w:r>
            <w:r>
              <w:rPr>
                <w:rFonts w:ascii="仿宋" w:hAnsi="仿宋" w:eastAsia="仿宋" w:cs="仿宋"/>
                <w:spacing w:val="-56"/>
                <w:sz w:val="30"/>
                <w:szCs w:val="30"/>
              </w:rPr>
              <w:t xml:space="preserve"> </w:t>
            </w:r>
            <w:r>
              <w:rPr>
                <w:rFonts w:hint="eastAsia" w:ascii="Times New Roman" w:hAnsi="Times New Roman" w:eastAsia="宋体" w:cs="Times New Roman"/>
                <w:spacing w:val="-2"/>
                <w:sz w:val="30"/>
                <w:szCs w:val="30"/>
                <w:lang w:val="en-US" w:eastAsia="zh-CN"/>
              </w:rPr>
              <w:t>8.51</w:t>
            </w:r>
            <w:r>
              <w:rPr>
                <w:rFonts w:ascii="Times New Roman" w:hAnsi="Times New Roman" w:eastAsia="Times New Roman" w:cs="Times New Roman"/>
                <w:spacing w:val="-2"/>
                <w:sz w:val="30"/>
                <w:szCs w:val="30"/>
              </w:rPr>
              <w:t>hm</w:t>
            </w:r>
            <w:r>
              <w:rPr>
                <w:rFonts w:ascii="Times New Roman" w:hAnsi="Times New Roman" w:eastAsia="Times New Roman" w:cs="Times New Roman"/>
                <w:spacing w:val="-2"/>
                <w:position w:val="13"/>
                <w:sz w:val="19"/>
                <w:szCs w:val="19"/>
              </w:rPr>
              <w:t>2</w:t>
            </w:r>
            <w:r>
              <w:rPr>
                <w:rFonts w:ascii="仿宋" w:hAnsi="仿宋" w:eastAsia="仿宋" w:cs="仿宋"/>
                <w:spacing w:val="-2"/>
                <w:sz w:val="30"/>
                <w:szCs w:val="30"/>
              </w:rPr>
              <w:t>。</w:t>
            </w:r>
          </w:p>
          <w:p>
            <w:pPr>
              <w:spacing w:before="10" w:line="240" w:lineRule="auto"/>
              <w:ind w:firstLine="728"/>
              <w:rPr>
                <w:rFonts w:hint="default" w:ascii="仿宋" w:hAnsi="仿宋" w:eastAsia="仿宋" w:cs="仿宋"/>
                <w:sz w:val="30"/>
                <w:szCs w:val="30"/>
                <w:lang w:val="en-US"/>
              </w:rPr>
            </w:pPr>
            <w:r>
              <w:rPr>
                <w:rFonts w:ascii="仿宋" w:hAnsi="仿宋" w:eastAsia="仿宋" w:cs="仿宋"/>
                <w:spacing w:val="-6"/>
                <w:position w:val="23"/>
                <w:sz w:val="30"/>
                <w:szCs w:val="30"/>
              </w:rPr>
              <w:t>项目工程建设</w:t>
            </w:r>
            <w:r>
              <w:rPr>
                <w:rFonts w:hint="eastAsia" w:ascii="仿宋" w:hAnsi="仿宋" w:eastAsia="仿宋" w:cs="仿宋"/>
                <w:spacing w:val="-6"/>
                <w:position w:val="23"/>
                <w:sz w:val="30"/>
                <w:szCs w:val="30"/>
                <w:lang w:val="en-US" w:eastAsia="zh-CN"/>
              </w:rPr>
              <w:t>总</w:t>
            </w:r>
            <w:r>
              <w:rPr>
                <w:rFonts w:ascii="仿宋" w:hAnsi="仿宋" w:eastAsia="仿宋" w:cs="仿宋"/>
                <w:spacing w:val="-6"/>
                <w:position w:val="23"/>
                <w:sz w:val="30"/>
                <w:szCs w:val="30"/>
              </w:rPr>
              <w:t>投资</w:t>
            </w:r>
            <w:r>
              <w:rPr>
                <w:rFonts w:hint="default" w:ascii="Times New Roman" w:hAnsi="Times New Roman" w:eastAsia="仿宋" w:cs="Times New Roman"/>
                <w:spacing w:val="-6"/>
                <w:position w:val="23"/>
                <w:sz w:val="30"/>
                <w:szCs w:val="30"/>
                <w:lang w:val="en-US" w:eastAsia="zh-CN"/>
              </w:rPr>
              <w:t>4975.35</w:t>
            </w:r>
            <w:r>
              <w:rPr>
                <w:rFonts w:hint="eastAsia" w:ascii="仿宋" w:hAnsi="仿宋" w:eastAsia="仿宋" w:cs="仿宋"/>
                <w:spacing w:val="-6"/>
                <w:position w:val="23"/>
                <w:sz w:val="30"/>
                <w:szCs w:val="30"/>
                <w:lang w:val="en-US" w:eastAsia="zh-CN"/>
              </w:rPr>
              <w:t>万</w:t>
            </w:r>
            <w:r>
              <w:rPr>
                <w:rFonts w:ascii="仿宋" w:hAnsi="仿宋" w:eastAsia="仿宋" w:cs="仿宋"/>
                <w:spacing w:val="-6"/>
                <w:position w:val="23"/>
                <w:sz w:val="30"/>
                <w:szCs w:val="30"/>
              </w:rPr>
              <w:t>元，其中土建投资</w:t>
            </w:r>
            <w:r>
              <w:rPr>
                <w:rFonts w:ascii="仿宋" w:hAnsi="仿宋" w:eastAsia="仿宋" w:cs="仿宋"/>
                <w:spacing w:val="-64"/>
                <w:position w:val="23"/>
                <w:sz w:val="30"/>
                <w:szCs w:val="30"/>
              </w:rPr>
              <w:t xml:space="preserve"> </w:t>
            </w:r>
            <w:r>
              <w:rPr>
                <w:rFonts w:ascii="Times New Roman" w:hAnsi="Times New Roman" w:eastAsia="Times New Roman" w:cs="Times New Roman"/>
                <w:spacing w:val="-6"/>
                <w:position w:val="23"/>
                <w:sz w:val="30"/>
                <w:szCs w:val="30"/>
              </w:rPr>
              <w:t>3</w:t>
            </w:r>
            <w:r>
              <w:rPr>
                <w:rFonts w:hint="eastAsia" w:ascii="Times New Roman" w:hAnsi="Times New Roman" w:eastAsia="宋体" w:cs="Times New Roman"/>
                <w:spacing w:val="-6"/>
                <w:position w:val="23"/>
                <w:sz w:val="30"/>
                <w:szCs w:val="30"/>
                <w:lang w:val="en-US" w:eastAsia="zh-CN"/>
              </w:rPr>
              <w:t>187</w:t>
            </w:r>
            <w:r>
              <w:rPr>
                <w:rFonts w:hint="eastAsia" w:ascii="仿宋" w:hAnsi="仿宋" w:eastAsia="仿宋" w:cs="仿宋"/>
                <w:spacing w:val="-6"/>
                <w:position w:val="23"/>
                <w:sz w:val="30"/>
                <w:szCs w:val="30"/>
                <w:lang w:val="en-US" w:eastAsia="zh-CN"/>
              </w:rPr>
              <w:t>万元</w:t>
            </w:r>
            <w:r>
              <w:rPr>
                <w:rFonts w:hint="eastAsia" w:ascii="Times New Roman" w:hAnsi="Times New Roman" w:eastAsia="宋体" w:cs="Times New Roman"/>
                <w:spacing w:val="-6"/>
                <w:position w:val="23"/>
                <w:sz w:val="30"/>
                <w:szCs w:val="30"/>
                <w:lang w:val="en-US" w:eastAsia="zh-CN"/>
              </w:rPr>
              <w:t>，</w:t>
            </w:r>
            <w:r>
              <w:rPr>
                <w:rFonts w:hint="eastAsia" w:ascii="仿宋" w:hAnsi="仿宋" w:eastAsia="仿宋" w:cs="仿宋"/>
                <w:spacing w:val="-6"/>
                <w:position w:val="23"/>
                <w:sz w:val="30"/>
                <w:szCs w:val="30"/>
                <w:lang w:val="en-US" w:eastAsia="zh-CN"/>
              </w:rPr>
              <w:t>来源全部为建设单位自筹解决。</w:t>
            </w:r>
          </w:p>
          <w:p>
            <w:pPr>
              <w:spacing w:before="291" w:line="240" w:lineRule="auto"/>
              <w:ind w:right="105" w:firstLine="552" w:firstLineChars="200"/>
              <w:rPr>
                <w:rFonts w:ascii="仿宋" w:hAnsi="仿宋" w:eastAsia="仿宋" w:cs="仿宋"/>
                <w:sz w:val="30"/>
                <w:szCs w:val="30"/>
              </w:rPr>
            </w:pPr>
            <w:r>
              <w:rPr>
                <w:rFonts w:ascii="仿宋" w:hAnsi="仿宋" w:eastAsia="仿宋" w:cs="仿宋"/>
                <w:spacing w:val="-12"/>
                <w:sz w:val="30"/>
                <w:szCs w:val="30"/>
              </w:rPr>
              <w:t>工程于</w:t>
            </w:r>
            <w:r>
              <w:rPr>
                <w:rFonts w:ascii="仿宋" w:hAnsi="仿宋" w:eastAsia="仿宋" w:cs="仿宋"/>
                <w:spacing w:val="-29"/>
                <w:sz w:val="30"/>
                <w:szCs w:val="30"/>
              </w:rPr>
              <w:t xml:space="preserve"> </w:t>
            </w:r>
            <w:r>
              <w:rPr>
                <w:rFonts w:ascii="Times New Roman" w:hAnsi="Times New Roman" w:eastAsia="Times New Roman" w:cs="Times New Roman"/>
                <w:spacing w:val="-12"/>
                <w:sz w:val="30"/>
                <w:szCs w:val="30"/>
              </w:rPr>
              <w:t>201</w:t>
            </w:r>
            <w:r>
              <w:rPr>
                <w:rFonts w:hint="eastAsia" w:ascii="Times New Roman" w:hAnsi="Times New Roman" w:eastAsia="宋体" w:cs="Times New Roman"/>
                <w:spacing w:val="-12"/>
                <w:sz w:val="30"/>
                <w:szCs w:val="30"/>
                <w:lang w:val="en-US" w:eastAsia="zh-CN"/>
              </w:rPr>
              <w:t>6</w:t>
            </w:r>
            <w:r>
              <w:rPr>
                <w:rFonts w:ascii="Times New Roman" w:hAnsi="Times New Roman" w:eastAsia="Times New Roman" w:cs="Times New Roman"/>
                <w:spacing w:val="54"/>
                <w:w w:val="101"/>
                <w:sz w:val="30"/>
                <w:szCs w:val="30"/>
              </w:rPr>
              <w:t xml:space="preserve"> </w:t>
            </w:r>
            <w:r>
              <w:rPr>
                <w:rFonts w:ascii="仿宋" w:hAnsi="仿宋" w:eastAsia="仿宋" w:cs="仿宋"/>
                <w:spacing w:val="-12"/>
                <w:sz w:val="30"/>
                <w:szCs w:val="30"/>
              </w:rPr>
              <w:t>年</w:t>
            </w:r>
            <w:r>
              <w:rPr>
                <w:rFonts w:ascii="仿宋" w:hAnsi="仿宋" w:eastAsia="仿宋" w:cs="仿宋"/>
                <w:spacing w:val="-34"/>
                <w:sz w:val="30"/>
                <w:szCs w:val="30"/>
              </w:rPr>
              <w:t xml:space="preserve"> </w:t>
            </w:r>
            <w:r>
              <w:rPr>
                <w:rFonts w:hint="eastAsia" w:ascii="Times New Roman" w:hAnsi="Times New Roman" w:eastAsia="宋体" w:cs="Times New Roman"/>
                <w:spacing w:val="-12"/>
                <w:sz w:val="30"/>
                <w:szCs w:val="30"/>
                <w:lang w:val="en-US" w:eastAsia="zh-CN"/>
              </w:rPr>
              <w:t>10</w:t>
            </w:r>
            <w:r>
              <w:rPr>
                <w:rFonts w:ascii="Times New Roman" w:hAnsi="Times New Roman" w:eastAsia="Times New Roman" w:cs="Times New Roman"/>
                <w:spacing w:val="61"/>
                <w:sz w:val="30"/>
                <w:szCs w:val="30"/>
              </w:rPr>
              <w:t xml:space="preserve"> </w:t>
            </w:r>
            <w:r>
              <w:rPr>
                <w:rFonts w:ascii="仿宋" w:hAnsi="仿宋" w:eastAsia="仿宋" w:cs="仿宋"/>
                <w:spacing w:val="-12"/>
                <w:sz w:val="30"/>
                <w:szCs w:val="30"/>
              </w:rPr>
              <w:t>月开工，</w:t>
            </w:r>
            <w:r>
              <w:rPr>
                <w:rFonts w:ascii="仿宋" w:hAnsi="仿宋" w:eastAsia="仿宋" w:cs="仿宋"/>
                <w:spacing w:val="6"/>
                <w:sz w:val="30"/>
                <w:szCs w:val="30"/>
              </w:rPr>
              <w:t xml:space="preserve"> </w:t>
            </w:r>
            <w:r>
              <w:rPr>
                <w:rFonts w:ascii="Times New Roman" w:hAnsi="Times New Roman" w:eastAsia="Times New Roman" w:cs="Times New Roman"/>
                <w:spacing w:val="-12"/>
                <w:sz w:val="30"/>
                <w:szCs w:val="30"/>
              </w:rPr>
              <w:t>20</w:t>
            </w:r>
            <w:r>
              <w:rPr>
                <w:rFonts w:hint="eastAsia" w:ascii="Times New Roman" w:hAnsi="Times New Roman" w:eastAsia="宋体" w:cs="Times New Roman"/>
                <w:spacing w:val="-12"/>
                <w:sz w:val="30"/>
                <w:szCs w:val="30"/>
                <w:lang w:val="en-US" w:eastAsia="zh-CN"/>
              </w:rPr>
              <w:t>17</w:t>
            </w:r>
            <w:r>
              <w:rPr>
                <w:rFonts w:ascii="Times New Roman" w:hAnsi="Times New Roman" w:eastAsia="Times New Roman" w:cs="Times New Roman"/>
                <w:spacing w:val="54"/>
                <w:w w:val="101"/>
                <w:sz w:val="30"/>
                <w:szCs w:val="30"/>
              </w:rPr>
              <w:t xml:space="preserve"> </w:t>
            </w:r>
            <w:r>
              <w:rPr>
                <w:rFonts w:ascii="仿宋" w:hAnsi="仿宋" w:eastAsia="仿宋" w:cs="仿宋"/>
                <w:spacing w:val="-12"/>
                <w:sz w:val="30"/>
                <w:szCs w:val="30"/>
              </w:rPr>
              <w:t>年</w:t>
            </w:r>
            <w:r>
              <w:rPr>
                <w:rFonts w:ascii="仿宋" w:hAnsi="仿宋" w:eastAsia="仿宋" w:cs="仿宋"/>
                <w:spacing w:val="-35"/>
                <w:sz w:val="30"/>
                <w:szCs w:val="30"/>
              </w:rPr>
              <w:t xml:space="preserve"> </w:t>
            </w:r>
            <w:r>
              <w:rPr>
                <w:rFonts w:ascii="Times New Roman" w:hAnsi="Times New Roman" w:eastAsia="Times New Roman" w:cs="Times New Roman"/>
                <w:spacing w:val="-12"/>
                <w:sz w:val="30"/>
                <w:szCs w:val="30"/>
              </w:rPr>
              <w:t>6</w:t>
            </w:r>
            <w:r>
              <w:rPr>
                <w:rFonts w:ascii="Times New Roman" w:hAnsi="Times New Roman" w:eastAsia="Times New Roman" w:cs="Times New Roman"/>
                <w:spacing w:val="62"/>
                <w:sz w:val="30"/>
                <w:szCs w:val="30"/>
              </w:rPr>
              <w:t xml:space="preserve"> </w:t>
            </w:r>
            <w:r>
              <w:rPr>
                <w:rFonts w:ascii="仿宋" w:hAnsi="仿宋" w:eastAsia="仿宋" w:cs="仿宋"/>
                <w:spacing w:val="-12"/>
                <w:sz w:val="30"/>
                <w:szCs w:val="30"/>
              </w:rPr>
              <w:t>月竣工，工程总工期</w:t>
            </w:r>
            <w:r>
              <w:rPr>
                <w:rFonts w:ascii="Times New Roman" w:hAnsi="Times New Roman" w:eastAsia="Times New Roman" w:cs="Times New Roman"/>
                <w:sz w:val="30"/>
                <w:szCs w:val="30"/>
              </w:rPr>
              <w:t xml:space="preserve"> </w:t>
            </w:r>
            <w:r>
              <w:rPr>
                <w:rFonts w:hint="eastAsia" w:ascii="Times New Roman" w:hAnsi="Times New Roman" w:eastAsia="宋体" w:cs="Times New Roman"/>
                <w:sz w:val="30"/>
                <w:szCs w:val="30"/>
                <w:lang w:val="en-US" w:eastAsia="zh-CN"/>
              </w:rPr>
              <w:t>8</w:t>
            </w:r>
            <w:r>
              <w:rPr>
                <w:rFonts w:ascii="仿宋" w:hAnsi="仿宋" w:eastAsia="仿宋" w:cs="仿宋"/>
                <w:spacing w:val="-14"/>
                <w:sz w:val="30"/>
                <w:szCs w:val="30"/>
              </w:rPr>
              <w:t>个月。</w:t>
            </w:r>
          </w:p>
          <w:p>
            <w:pPr>
              <w:spacing w:before="1" w:line="240" w:lineRule="auto"/>
              <w:ind w:firstLine="739"/>
              <w:outlineLvl w:val="0"/>
              <w:rPr>
                <w:rFonts w:ascii="仿宋" w:hAnsi="仿宋" w:eastAsia="仿宋" w:cs="仿宋"/>
                <w:sz w:val="30"/>
                <w:szCs w:val="30"/>
              </w:rPr>
            </w:pPr>
            <w:r>
              <w:rPr>
                <w:rFonts w:ascii="仿宋" w:hAnsi="仿宋" w:eastAsia="仿宋" w:cs="仿宋"/>
                <w:spacing w:val="-2"/>
                <w:sz w:val="30"/>
                <w:szCs w:val="30"/>
                <w14:textOutline w14:w="3810" w14:cap="flat" w14:cmpd="sng">
                  <w14:solidFill>
                    <w14:srgbClr w14:val="000000"/>
                  </w14:solidFill>
                  <w14:prstDash w14:val="solid"/>
                  <w14:miter w14:val="0"/>
                </w14:textOutline>
              </w:rPr>
              <w:t>二、水土保持方案批复情况（含变更）</w:t>
            </w:r>
          </w:p>
          <w:p>
            <w:pPr>
              <w:spacing w:before="291" w:line="360" w:lineRule="auto"/>
              <w:ind w:left="129" w:right="107" w:firstLine="584"/>
              <w:rPr>
                <w:rFonts w:ascii="仿宋" w:hAnsi="仿宋" w:eastAsia="仿宋" w:cs="仿宋"/>
                <w:sz w:val="30"/>
                <w:szCs w:val="30"/>
              </w:rPr>
            </w:pPr>
            <w:r>
              <w:rPr>
                <w:rFonts w:ascii="Times New Roman" w:hAnsi="Times New Roman" w:eastAsia="Times New Roman" w:cs="Times New Roman"/>
                <w:spacing w:val="-4"/>
                <w:sz w:val="30"/>
                <w:szCs w:val="30"/>
              </w:rPr>
              <w:t>20</w:t>
            </w:r>
            <w:r>
              <w:rPr>
                <w:rFonts w:hint="eastAsia" w:ascii="Times New Roman" w:hAnsi="Times New Roman" w:eastAsia="宋体" w:cs="Times New Roman"/>
                <w:spacing w:val="-4"/>
                <w:sz w:val="30"/>
                <w:szCs w:val="30"/>
                <w:lang w:val="en-US" w:eastAsia="zh-CN"/>
              </w:rPr>
              <w:t>16</w:t>
            </w:r>
            <w:r>
              <w:rPr>
                <w:rFonts w:ascii="Times New Roman" w:hAnsi="Times New Roman" w:eastAsia="Times New Roman" w:cs="Times New Roman"/>
                <w:spacing w:val="61"/>
                <w:sz w:val="30"/>
                <w:szCs w:val="30"/>
              </w:rPr>
              <w:t xml:space="preserve"> </w:t>
            </w:r>
            <w:r>
              <w:rPr>
                <w:rFonts w:ascii="仿宋" w:hAnsi="仿宋" w:eastAsia="仿宋" w:cs="仿宋"/>
                <w:spacing w:val="-4"/>
                <w:sz w:val="30"/>
                <w:szCs w:val="30"/>
              </w:rPr>
              <w:t>年</w:t>
            </w:r>
            <w:r>
              <w:rPr>
                <w:rFonts w:ascii="仿宋" w:hAnsi="仿宋" w:eastAsia="仿宋" w:cs="仿宋"/>
                <w:spacing w:val="-44"/>
                <w:sz w:val="30"/>
                <w:szCs w:val="30"/>
              </w:rPr>
              <w:t xml:space="preserve"> </w:t>
            </w:r>
            <w:r>
              <w:rPr>
                <w:rFonts w:hint="eastAsia" w:ascii="Times New Roman" w:hAnsi="Times New Roman" w:eastAsia="宋体" w:cs="Times New Roman"/>
                <w:spacing w:val="-4"/>
                <w:sz w:val="30"/>
                <w:szCs w:val="30"/>
                <w:lang w:val="en-US" w:eastAsia="zh-CN"/>
              </w:rPr>
              <w:t>10</w:t>
            </w:r>
            <w:r>
              <w:rPr>
                <w:rFonts w:ascii="Times New Roman" w:hAnsi="Times New Roman" w:eastAsia="Times New Roman" w:cs="Times New Roman"/>
                <w:spacing w:val="52"/>
                <w:sz w:val="30"/>
                <w:szCs w:val="30"/>
              </w:rPr>
              <w:t xml:space="preserve"> </w:t>
            </w:r>
            <w:r>
              <w:rPr>
                <w:rFonts w:ascii="仿宋" w:hAnsi="仿宋" w:eastAsia="仿宋" w:cs="仿宋"/>
                <w:spacing w:val="-4"/>
                <w:sz w:val="30"/>
                <w:szCs w:val="30"/>
              </w:rPr>
              <w:t>月，衡阳市水利局以衡水许〔</w:t>
            </w:r>
            <w:r>
              <w:rPr>
                <w:rFonts w:ascii="Times New Roman" w:hAnsi="Times New Roman" w:eastAsia="Times New Roman" w:cs="Times New Roman"/>
                <w:spacing w:val="-4"/>
                <w:sz w:val="30"/>
                <w:szCs w:val="30"/>
              </w:rPr>
              <w:t>201</w:t>
            </w:r>
            <w:r>
              <w:rPr>
                <w:rFonts w:hint="eastAsia" w:ascii="Times New Roman" w:hAnsi="Times New Roman" w:eastAsia="宋体" w:cs="Times New Roman"/>
                <w:spacing w:val="-4"/>
                <w:sz w:val="30"/>
                <w:szCs w:val="30"/>
                <w:lang w:val="en-US" w:eastAsia="zh-CN"/>
              </w:rPr>
              <w:t>6</w:t>
            </w:r>
            <w:r>
              <w:rPr>
                <w:rFonts w:ascii="仿宋" w:hAnsi="仿宋" w:eastAsia="仿宋" w:cs="仿宋"/>
                <w:spacing w:val="-4"/>
                <w:sz w:val="30"/>
                <w:szCs w:val="30"/>
              </w:rPr>
              <w:t>〕</w:t>
            </w:r>
            <w:r>
              <w:rPr>
                <w:rFonts w:hint="eastAsia" w:ascii="Times New Roman" w:hAnsi="Times New Roman" w:eastAsia="宋体" w:cs="Times New Roman"/>
                <w:spacing w:val="-4"/>
                <w:sz w:val="30"/>
                <w:szCs w:val="30"/>
                <w:lang w:val="en-US" w:eastAsia="zh-CN"/>
              </w:rPr>
              <w:t>3</w:t>
            </w:r>
            <w:r>
              <w:rPr>
                <w:rFonts w:ascii="Times New Roman" w:hAnsi="Times New Roman" w:eastAsia="Times New Roman" w:cs="Times New Roman"/>
                <w:spacing w:val="-4"/>
                <w:sz w:val="30"/>
                <w:szCs w:val="30"/>
              </w:rPr>
              <w:t>4</w:t>
            </w:r>
            <w:r>
              <w:rPr>
                <w:rFonts w:ascii="Times New Roman" w:hAnsi="Times New Roman" w:eastAsia="Times New Roman" w:cs="Times New Roman"/>
                <w:spacing w:val="44"/>
                <w:sz w:val="30"/>
                <w:szCs w:val="30"/>
              </w:rPr>
              <w:t xml:space="preserve"> </w:t>
            </w:r>
            <w:r>
              <w:rPr>
                <w:rFonts w:ascii="仿宋" w:hAnsi="仿宋" w:eastAsia="仿宋" w:cs="仿宋"/>
                <w:spacing w:val="-4"/>
                <w:sz w:val="30"/>
                <w:szCs w:val="30"/>
              </w:rPr>
              <w:t>号文《关于</w:t>
            </w:r>
            <w:r>
              <w:rPr>
                <w:rFonts w:ascii="仿宋" w:hAnsi="仿宋" w:eastAsia="仿宋" w:cs="仿宋"/>
                <w:sz w:val="30"/>
                <w:szCs w:val="30"/>
              </w:rPr>
              <w:t xml:space="preserve"> </w:t>
            </w:r>
            <w:r>
              <w:rPr>
                <w:rFonts w:hint="eastAsia" w:ascii="仿宋" w:hAnsi="仿宋" w:eastAsia="仿宋" w:cs="仿宋"/>
                <w:sz w:val="30"/>
                <w:szCs w:val="30"/>
                <w:lang w:val="en-US" w:eastAsia="zh-CN"/>
              </w:rPr>
              <w:t>华天路新建工程</w:t>
            </w:r>
            <w:r>
              <w:rPr>
                <w:rFonts w:ascii="仿宋" w:hAnsi="仿宋" w:eastAsia="仿宋" w:cs="仿宋"/>
                <w:spacing w:val="7"/>
                <w:sz w:val="30"/>
                <w:szCs w:val="30"/>
              </w:rPr>
              <w:t>水土保</w:t>
            </w:r>
            <w:r>
              <w:rPr>
                <w:rFonts w:ascii="仿宋" w:hAnsi="仿宋" w:eastAsia="仿宋" w:cs="仿宋"/>
                <w:spacing w:val="-11"/>
                <w:sz w:val="30"/>
                <w:szCs w:val="30"/>
              </w:rPr>
              <w:t>持方案的批复》，予以批复。本项目无变更。</w:t>
            </w:r>
          </w:p>
          <w:p>
            <w:pPr>
              <w:spacing w:before="1" w:line="240" w:lineRule="auto"/>
              <w:ind w:firstLine="738"/>
              <w:outlineLvl w:val="0"/>
              <w:rPr>
                <w:rFonts w:ascii="仿宋" w:hAnsi="仿宋" w:eastAsia="仿宋" w:cs="仿宋"/>
                <w:sz w:val="30"/>
                <w:szCs w:val="30"/>
              </w:rPr>
            </w:pPr>
            <w:r>
              <w:rPr>
                <w:rFonts w:ascii="仿宋" w:hAnsi="仿宋" w:eastAsia="仿宋" w:cs="仿宋"/>
                <w:spacing w:val="-1"/>
                <w:sz w:val="30"/>
                <w:szCs w:val="30"/>
                <w14:textOutline w14:w="3810" w14:cap="flat" w14:cmpd="sng">
                  <w14:solidFill>
                    <w14:srgbClr w14:val="000000"/>
                  </w14:solidFill>
                  <w14:prstDash w14:val="solid"/>
                  <w14:miter w14:val="0"/>
                </w14:textOutline>
              </w:rPr>
              <w:t>三、水土保持初步设计或施工图设计情况</w:t>
            </w:r>
          </w:p>
          <w:p>
            <w:pPr>
              <w:spacing w:before="295" w:line="360" w:lineRule="auto"/>
              <w:ind w:left="129" w:right="107" w:firstLine="598"/>
              <w:rPr>
                <w:rFonts w:ascii="仿宋" w:hAnsi="仿宋" w:eastAsia="仿宋" w:cs="仿宋"/>
                <w:sz w:val="30"/>
                <w:szCs w:val="30"/>
              </w:rPr>
            </w:pPr>
            <w:r>
              <w:rPr>
                <w:rFonts w:ascii="仿宋" w:hAnsi="仿宋" w:eastAsia="仿宋" w:cs="仿宋"/>
                <w:spacing w:val="7"/>
                <w:sz w:val="30"/>
                <w:szCs w:val="30"/>
              </w:rPr>
              <w:t>本工程将水</w:t>
            </w:r>
            <w:r>
              <w:rPr>
                <w:rFonts w:ascii="仿宋" w:hAnsi="仿宋" w:eastAsia="仿宋" w:cs="仿宋"/>
                <w:color w:val="auto"/>
                <w:spacing w:val="7"/>
                <w:sz w:val="30"/>
                <w:szCs w:val="30"/>
              </w:rPr>
              <w:t>土保持后续设计施工纳入到主体设计施工当中进</w:t>
            </w:r>
            <w:r>
              <w:rPr>
                <w:rFonts w:ascii="仿宋" w:hAnsi="仿宋" w:eastAsia="仿宋" w:cs="仿宋"/>
                <w:color w:val="auto"/>
                <w:spacing w:val="18"/>
                <w:sz w:val="30"/>
                <w:szCs w:val="30"/>
              </w:rPr>
              <w:t xml:space="preserve"> </w:t>
            </w:r>
            <w:r>
              <w:rPr>
                <w:rFonts w:ascii="仿宋" w:hAnsi="仿宋" w:eastAsia="仿宋" w:cs="仿宋"/>
                <w:color w:val="auto"/>
                <w:spacing w:val="-18"/>
                <w:sz w:val="30"/>
                <w:szCs w:val="30"/>
              </w:rPr>
              <w:t>行，</w:t>
            </w:r>
            <w:r>
              <w:rPr>
                <w:rFonts w:ascii="仿宋" w:hAnsi="仿宋" w:eastAsia="仿宋" w:cs="仿宋"/>
                <w:spacing w:val="-18"/>
                <w:sz w:val="30"/>
                <w:szCs w:val="30"/>
              </w:rPr>
              <w:t>未单独进</w:t>
            </w:r>
            <w:r>
              <w:rPr>
                <w:rFonts w:ascii="仿宋" w:hAnsi="仿宋" w:eastAsia="仿宋" w:cs="仿宋"/>
                <w:spacing w:val="-6"/>
                <w:sz w:val="30"/>
                <w:szCs w:val="30"/>
              </w:rPr>
              <w:t>行水土保持后续设计。</w:t>
            </w:r>
          </w:p>
          <w:p>
            <w:pPr>
              <w:spacing w:before="291" w:line="360" w:lineRule="auto"/>
              <w:ind w:firstLine="765"/>
              <w:rPr>
                <w:rFonts w:ascii="仿宋" w:hAnsi="仿宋" w:eastAsia="仿宋" w:cs="仿宋"/>
                <w:spacing w:val="-4"/>
                <w:sz w:val="30"/>
                <w:szCs w:val="30"/>
                <w14:textOutline w14:w="3810" w14:cap="flat" w14:cmpd="sng">
                  <w14:solidFill>
                    <w14:srgbClr w14:val="000000"/>
                  </w14:solidFill>
                  <w14:prstDash w14:val="solid"/>
                  <w14:miter w14:val="0"/>
                </w14:textOutline>
              </w:rPr>
            </w:pPr>
            <w:r>
              <w:rPr>
                <w:rFonts w:ascii="仿宋" w:hAnsi="仿宋" w:eastAsia="仿宋" w:cs="仿宋"/>
                <w:spacing w:val="-4"/>
                <w:sz w:val="30"/>
                <w:szCs w:val="30"/>
                <w14:textOutline w14:w="3810" w14:cap="flat" w14:cmpd="sng">
                  <w14:solidFill>
                    <w14:srgbClr w14:val="000000"/>
                  </w14:solidFill>
                  <w14:prstDash w14:val="solid"/>
                  <w14:miter w14:val="0"/>
                </w14:textOutline>
              </w:rPr>
              <w:t>四、水土保持监测情况</w:t>
            </w:r>
          </w:p>
          <w:p>
            <w:pPr>
              <w:spacing w:before="291" w:line="360" w:lineRule="auto"/>
              <w:ind w:firstLine="765"/>
              <w:rPr>
                <w:rFonts w:ascii="仿宋" w:hAnsi="仿宋" w:eastAsia="仿宋" w:cs="仿宋"/>
                <w:sz w:val="30"/>
                <w:szCs w:val="30"/>
              </w:rPr>
            </w:pPr>
            <w:r>
              <w:rPr>
                <w:rFonts w:ascii="Times New Roman" w:hAnsi="Times New Roman" w:eastAsia="Times New Roman" w:cs="Times New Roman"/>
                <w:b/>
                <w:bCs/>
                <w:spacing w:val="-3"/>
                <w:sz w:val="30"/>
                <w:szCs w:val="30"/>
              </w:rPr>
              <w:t>2</w:t>
            </w:r>
            <w:r>
              <w:rPr>
                <w:rFonts w:ascii="Times New Roman" w:hAnsi="Times New Roman" w:eastAsia="Times New Roman" w:cs="Times New Roman"/>
                <w:spacing w:val="-3"/>
                <w:sz w:val="30"/>
                <w:szCs w:val="30"/>
              </w:rPr>
              <w:t>0</w:t>
            </w:r>
            <w:r>
              <w:rPr>
                <w:rFonts w:hint="eastAsia" w:ascii="Times New Roman" w:hAnsi="Times New Roman" w:eastAsia="宋体" w:cs="Times New Roman"/>
                <w:spacing w:val="-3"/>
                <w:sz w:val="30"/>
                <w:szCs w:val="30"/>
                <w:lang w:val="en-US" w:eastAsia="zh-CN"/>
              </w:rPr>
              <w:t>21</w:t>
            </w:r>
            <w:r>
              <w:rPr>
                <w:rFonts w:ascii="仿宋" w:hAnsi="仿宋" w:eastAsia="仿宋" w:cs="仿宋"/>
                <w:spacing w:val="-3"/>
                <w:sz w:val="30"/>
                <w:szCs w:val="30"/>
              </w:rPr>
              <w:t>年</w:t>
            </w:r>
            <w:r>
              <w:rPr>
                <w:rFonts w:ascii="仿宋" w:hAnsi="仿宋" w:eastAsia="仿宋" w:cs="仿宋"/>
                <w:spacing w:val="-13"/>
                <w:sz w:val="30"/>
                <w:szCs w:val="30"/>
              </w:rPr>
              <w:t xml:space="preserve"> </w:t>
            </w:r>
            <w:r>
              <w:rPr>
                <w:rFonts w:hint="eastAsia" w:ascii="Times New Roman" w:hAnsi="Times New Roman" w:eastAsia="宋体" w:cs="Times New Roman"/>
                <w:spacing w:val="-3"/>
                <w:sz w:val="30"/>
                <w:szCs w:val="30"/>
                <w:lang w:val="en-US" w:eastAsia="zh-CN"/>
              </w:rPr>
              <w:t>12</w:t>
            </w:r>
            <w:r>
              <w:rPr>
                <w:rFonts w:ascii="Times New Roman" w:hAnsi="Times New Roman" w:eastAsia="Times New Roman" w:cs="Times New Roman"/>
                <w:spacing w:val="3"/>
                <w:w w:val="101"/>
                <w:sz w:val="30"/>
                <w:szCs w:val="30"/>
              </w:rPr>
              <w:t xml:space="preserve"> </w:t>
            </w:r>
            <w:r>
              <w:rPr>
                <w:rFonts w:ascii="仿宋" w:hAnsi="仿宋" w:eastAsia="仿宋" w:cs="仿宋"/>
                <w:spacing w:val="-3"/>
                <w:sz w:val="30"/>
                <w:szCs w:val="30"/>
              </w:rPr>
              <w:t>月，湖南</w:t>
            </w:r>
            <w:r>
              <w:rPr>
                <w:rFonts w:hint="eastAsia" w:ascii="仿宋" w:hAnsi="仿宋" w:eastAsia="仿宋" w:cs="仿宋"/>
                <w:spacing w:val="-3"/>
                <w:sz w:val="30"/>
                <w:szCs w:val="30"/>
                <w:lang w:val="en-US" w:eastAsia="zh-CN"/>
              </w:rPr>
              <w:t>华意项目管理有限</w:t>
            </w:r>
            <w:r>
              <w:rPr>
                <w:rFonts w:ascii="仿宋" w:hAnsi="仿宋" w:eastAsia="仿宋" w:cs="仿宋"/>
                <w:spacing w:val="-3"/>
                <w:sz w:val="30"/>
                <w:szCs w:val="30"/>
              </w:rPr>
              <w:t>公司受项目建设</w:t>
            </w:r>
            <w:r>
              <w:rPr>
                <w:rFonts w:ascii="仿宋" w:hAnsi="仿宋" w:eastAsia="仿宋" w:cs="仿宋"/>
                <w:spacing w:val="-9"/>
                <w:sz w:val="30"/>
                <w:szCs w:val="30"/>
              </w:rPr>
              <w:t>单位</w:t>
            </w:r>
            <w:r>
              <w:rPr>
                <w:rFonts w:hint="eastAsia" w:ascii="仿宋" w:hAnsi="仿宋" w:eastAsia="仿宋" w:cs="仿宋"/>
                <w:spacing w:val="-9"/>
                <w:sz w:val="30"/>
                <w:szCs w:val="30"/>
                <w:lang w:val="en-US" w:eastAsia="zh-CN"/>
              </w:rPr>
              <w:t>衡阳市城市建设投资</w:t>
            </w:r>
            <w:r>
              <w:rPr>
                <w:rFonts w:ascii="仿宋" w:hAnsi="仿宋" w:eastAsia="仿宋" w:cs="仿宋"/>
                <w:spacing w:val="-9"/>
                <w:sz w:val="30"/>
                <w:szCs w:val="30"/>
              </w:rPr>
              <w:t>有限公司委托开展水土保持监测工作。监测</w:t>
            </w:r>
            <w:r>
              <w:rPr>
                <w:rFonts w:ascii="仿宋" w:hAnsi="仿宋" w:eastAsia="仿宋" w:cs="仿宋"/>
                <w:spacing w:val="-11"/>
                <w:sz w:val="30"/>
                <w:szCs w:val="30"/>
              </w:rPr>
              <w:t>单位在监测过程中对本工程主体工程区，采取</w:t>
            </w:r>
            <w:r>
              <w:rPr>
                <w:rFonts w:hint="eastAsia" w:ascii="仿宋" w:hAnsi="仿宋" w:eastAsia="仿宋" w:cs="仿宋"/>
                <w:spacing w:val="-11"/>
                <w:sz w:val="30"/>
                <w:szCs w:val="30"/>
                <w:lang w:val="en-US" w:eastAsia="zh-CN"/>
              </w:rPr>
              <w:t>现场巡视</w:t>
            </w:r>
            <w:r>
              <w:rPr>
                <w:rFonts w:ascii="仿宋" w:hAnsi="仿宋" w:eastAsia="仿宋" w:cs="仿宋"/>
                <w:spacing w:val="-11"/>
                <w:sz w:val="30"/>
                <w:szCs w:val="30"/>
              </w:rPr>
              <w:t>、</w:t>
            </w:r>
            <w:r>
              <w:rPr>
                <w:rFonts w:hint="eastAsia" w:ascii="仿宋" w:hAnsi="仿宋" w:eastAsia="仿宋" w:cs="仿宋"/>
                <w:spacing w:val="-11"/>
                <w:sz w:val="30"/>
                <w:szCs w:val="30"/>
                <w:lang w:val="en-US" w:eastAsia="zh-CN"/>
              </w:rPr>
              <w:t>调查法、建议坡面量测法、沉砂池法、观测桩法</w:t>
            </w:r>
            <w:r>
              <w:rPr>
                <w:rFonts w:ascii="仿宋" w:hAnsi="仿宋" w:eastAsia="仿宋" w:cs="仿宋"/>
                <w:spacing w:val="-14"/>
                <w:w w:val="98"/>
                <w:sz w:val="30"/>
                <w:szCs w:val="30"/>
              </w:rPr>
              <w:t>和</w:t>
            </w:r>
            <w:r>
              <w:rPr>
                <w:rFonts w:hint="eastAsia" w:ascii="仿宋" w:hAnsi="仿宋" w:eastAsia="仿宋" w:cs="仿宋"/>
                <w:spacing w:val="-14"/>
                <w:w w:val="98"/>
                <w:sz w:val="30"/>
                <w:szCs w:val="30"/>
                <w:lang w:val="en-US" w:eastAsia="zh-CN"/>
              </w:rPr>
              <w:t>标准地法等</w:t>
            </w:r>
            <w:r>
              <w:rPr>
                <w:rFonts w:ascii="仿宋" w:hAnsi="仿宋" w:eastAsia="仿宋" w:cs="仿宋"/>
                <w:spacing w:val="-14"/>
                <w:w w:val="98"/>
                <w:sz w:val="30"/>
                <w:szCs w:val="30"/>
              </w:rPr>
              <w:t>方式，提交监测实施</w:t>
            </w:r>
            <w:r>
              <w:rPr>
                <w:rFonts w:ascii="仿宋" w:hAnsi="仿宋" w:eastAsia="仿宋" w:cs="仿宋"/>
                <w:spacing w:val="-9"/>
                <w:sz w:val="30"/>
                <w:szCs w:val="30"/>
              </w:rPr>
              <w:t xml:space="preserve">方案 </w:t>
            </w:r>
            <w:r>
              <w:rPr>
                <w:rFonts w:ascii="Times New Roman" w:hAnsi="Times New Roman" w:eastAsia="Times New Roman" w:cs="Times New Roman"/>
                <w:color w:val="auto"/>
                <w:spacing w:val="-9"/>
                <w:sz w:val="30"/>
                <w:szCs w:val="30"/>
              </w:rPr>
              <w:t>1</w:t>
            </w:r>
            <w:r>
              <w:rPr>
                <w:rFonts w:ascii="Times New Roman" w:hAnsi="Times New Roman" w:eastAsia="Times New Roman" w:cs="Times New Roman"/>
                <w:color w:val="auto"/>
                <w:spacing w:val="27"/>
                <w:sz w:val="30"/>
                <w:szCs w:val="30"/>
              </w:rPr>
              <w:t xml:space="preserve"> </w:t>
            </w:r>
            <w:r>
              <w:rPr>
                <w:rFonts w:ascii="仿宋" w:hAnsi="仿宋" w:eastAsia="仿宋" w:cs="仿宋"/>
                <w:color w:val="auto"/>
                <w:spacing w:val="-9"/>
                <w:sz w:val="30"/>
                <w:szCs w:val="30"/>
              </w:rPr>
              <w:t>份，监测季报</w:t>
            </w:r>
            <w:r>
              <w:rPr>
                <w:rFonts w:ascii="仿宋" w:hAnsi="仿宋" w:eastAsia="仿宋" w:cs="仿宋"/>
                <w:color w:val="auto"/>
                <w:spacing w:val="-33"/>
                <w:sz w:val="30"/>
                <w:szCs w:val="30"/>
              </w:rPr>
              <w:t xml:space="preserve"> </w:t>
            </w:r>
            <w:r>
              <w:rPr>
                <w:rFonts w:ascii="Times New Roman" w:hAnsi="Times New Roman" w:eastAsia="Times New Roman" w:cs="Times New Roman"/>
                <w:color w:val="auto"/>
                <w:spacing w:val="-9"/>
                <w:sz w:val="30"/>
                <w:szCs w:val="30"/>
              </w:rPr>
              <w:t>1</w:t>
            </w:r>
            <w:r>
              <w:rPr>
                <w:rFonts w:ascii="仿宋" w:hAnsi="仿宋" w:eastAsia="仿宋" w:cs="仿宋"/>
                <w:color w:val="auto"/>
                <w:spacing w:val="-9"/>
                <w:sz w:val="30"/>
                <w:szCs w:val="30"/>
              </w:rPr>
              <w:t>份。并于</w:t>
            </w:r>
            <w:r>
              <w:rPr>
                <w:rFonts w:ascii="仿宋" w:hAnsi="仿宋" w:eastAsia="仿宋" w:cs="仿宋"/>
                <w:color w:val="auto"/>
                <w:spacing w:val="-62"/>
                <w:sz w:val="30"/>
                <w:szCs w:val="30"/>
              </w:rPr>
              <w:t xml:space="preserve"> </w:t>
            </w:r>
            <w:r>
              <w:rPr>
                <w:rFonts w:ascii="Times New Roman" w:hAnsi="Times New Roman" w:eastAsia="Times New Roman" w:cs="Times New Roman"/>
                <w:color w:val="auto"/>
                <w:spacing w:val="-9"/>
                <w:sz w:val="30"/>
                <w:szCs w:val="30"/>
              </w:rPr>
              <w:t>2021</w:t>
            </w:r>
            <w:r>
              <w:rPr>
                <w:rFonts w:ascii="Times New Roman" w:hAnsi="Times New Roman" w:eastAsia="Times New Roman" w:cs="Times New Roman"/>
                <w:color w:val="auto"/>
                <w:spacing w:val="32"/>
                <w:w w:val="101"/>
                <w:sz w:val="30"/>
                <w:szCs w:val="30"/>
              </w:rPr>
              <w:t xml:space="preserve"> </w:t>
            </w:r>
            <w:r>
              <w:rPr>
                <w:rFonts w:ascii="仿宋" w:hAnsi="仿宋" w:eastAsia="仿宋" w:cs="仿宋"/>
                <w:color w:val="auto"/>
                <w:spacing w:val="-9"/>
                <w:sz w:val="30"/>
                <w:szCs w:val="30"/>
              </w:rPr>
              <w:t>年</w:t>
            </w:r>
            <w:r>
              <w:rPr>
                <w:rFonts w:ascii="仿宋" w:hAnsi="仿宋" w:eastAsia="仿宋" w:cs="仿宋"/>
                <w:color w:val="auto"/>
                <w:spacing w:val="-34"/>
                <w:sz w:val="30"/>
                <w:szCs w:val="30"/>
              </w:rPr>
              <w:t xml:space="preserve"> </w:t>
            </w:r>
            <w:r>
              <w:rPr>
                <w:rFonts w:hint="eastAsia" w:ascii="Times New Roman" w:hAnsi="Times New Roman" w:eastAsia="宋体" w:cs="Times New Roman"/>
                <w:color w:val="auto"/>
                <w:spacing w:val="-9"/>
                <w:sz w:val="30"/>
                <w:szCs w:val="30"/>
                <w:lang w:val="en-US" w:eastAsia="zh-CN"/>
              </w:rPr>
              <w:t>12</w:t>
            </w:r>
            <w:r>
              <w:rPr>
                <w:rFonts w:ascii="Times New Roman" w:hAnsi="Times New Roman" w:eastAsia="Times New Roman" w:cs="Times New Roman"/>
                <w:color w:val="auto"/>
                <w:spacing w:val="42"/>
                <w:sz w:val="30"/>
                <w:szCs w:val="30"/>
              </w:rPr>
              <w:t xml:space="preserve"> </w:t>
            </w:r>
            <w:r>
              <w:rPr>
                <w:rFonts w:ascii="仿宋" w:hAnsi="仿宋" w:eastAsia="仿宋" w:cs="仿宋"/>
                <w:color w:val="auto"/>
                <w:spacing w:val="-9"/>
                <w:sz w:val="30"/>
                <w:szCs w:val="30"/>
              </w:rPr>
              <w:t>月</w:t>
            </w:r>
            <w:r>
              <w:rPr>
                <w:rFonts w:ascii="仿宋" w:hAnsi="仿宋" w:eastAsia="仿宋" w:cs="仿宋"/>
                <w:spacing w:val="-9"/>
                <w:sz w:val="30"/>
                <w:szCs w:val="30"/>
              </w:rPr>
              <w:t>编</w:t>
            </w:r>
            <w:r>
              <w:rPr>
                <w:rFonts w:ascii="仿宋" w:hAnsi="仿宋" w:eastAsia="仿宋" w:cs="仿宋"/>
                <w:spacing w:val="-4"/>
                <w:sz w:val="30"/>
                <w:szCs w:val="30"/>
              </w:rPr>
              <w:t>制完成了《</w:t>
            </w:r>
            <w:r>
              <w:rPr>
                <w:rFonts w:hint="eastAsia" w:ascii="仿宋" w:hAnsi="仿宋" w:eastAsia="仿宋" w:cs="仿宋"/>
                <w:spacing w:val="-4"/>
                <w:sz w:val="30"/>
                <w:szCs w:val="30"/>
                <w:lang w:val="en-US" w:eastAsia="zh-CN"/>
              </w:rPr>
              <w:t>华天路新建工程</w:t>
            </w:r>
            <w:r>
              <w:rPr>
                <w:rFonts w:ascii="仿宋" w:hAnsi="仿宋" w:eastAsia="仿宋" w:cs="仿宋"/>
                <w:spacing w:val="-4"/>
                <w:sz w:val="30"/>
                <w:szCs w:val="30"/>
              </w:rPr>
              <w:t>项</w:t>
            </w:r>
            <w:r>
              <w:rPr>
                <w:rFonts w:ascii="仿宋" w:hAnsi="仿宋" w:eastAsia="仿宋" w:cs="仿宋"/>
                <w:spacing w:val="-18"/>
                <w:sz w:val="30"/>
                <w:szCs w:val="30"/>
              </w:rPr>
              <w:t>目水土保持监测总结报告》。</w:t>
            </w:r>
          </w:p>
        </w:tc>
      </w:tr>
    </w:tbl>
    <w:p>
      <w:pPr>
        <w:sectPr>
          <w:pgSz w:w="11905" w:h="16840"/>
          <w:pgMar w:top="1440" w:right="1440" w:bottom="1440" w:left="1440" w:header="0" w:footer="0" w:gutter="0"/>
          <w:cols w:space="720" w:num="1"/>
        </w:sectPr>
      </w:pPr>
    </w:p>
    <w:p>
      <w:pPr>
        <w:spacing w:line="89" w:lineRule="auto"/>
        <w:rPr>
          <w:rFonts w:ascii="Arial"/>
          <w:sz w:val="2"/>
        </w:rPr>
      </w:pPr>
    </w:p>
    <w:tbl>
      <w:tblPr>
        <w:tblStyle w:val="29"/>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738" w:hRule="atLeast"/>
        </w:trPr>
        <w:tc>
          <w:tcPr>
            <w:tcW w:w="8842" w:type="dxa"/>
            <w:vAlign w:val="top"/>
          </w:tcPr>
          <w:p>
            <w:pPr>
              <w:spacing w:before="166" w:line="384" w:lineRule="auto"/>
              <w:ind w:left="126" w:right="91" w:firstLine="609"/>
              <w:rPr>
                <w:rFonts w:ascii="仿宋" w:hAnsi="仿宋" w:eastAsia="仿宋" w:cs="仿宋"/>
                <w:color w:val="auto"/>
                <w:sz w:val="30"/>
                <w:szCs w:val="30"/>
              </w:rPr>
            </w:pPr>
            <w:r>
              <w:rPr>
                <w:rFonts w:ascii="仿宋" w:hAnsi="仿宋" w:eastAsia="仿宋" w:cs="仿宋"/>
                <w:color w:val="auto"/>
                <w:spacing w:val="-20"/>
                <w:sz w:val="30"/>
                <w:szCs w:val="30"/>
              </w:rPr>
              <w:t>监测报告主要结论</w:t>
            </w:r>
            <w:r>
              <w:rPr>
                <w:rFonts w:hint="eastAsia" w:ascii="仿宋" w:hAnsi="仿宋" w:eastAsia="仿宋" w:cs="仿宋"/>
                <w:color w:val="auto"/>
                <w:spacing w:val="-20"/>
                <w:sz w:val="30"/>
                <w:szCs w:val="30"/>
                <w:lang w:eastAsia="zh-CN"/>
              </w:rPr>
              <w:t>：</w:t>
            </w:r>
            <w:r>
              <w:rPr>
                <w:rFonts w:ascii="仿宋" w:hAnsi="仿宋" w:eastAsia="仿宋" w:cs="仿宋"/>
                <w:color w:val="auto"/>
                <w:spacing w:val="-20"/>
                <w:sz w:val="30"/>
                <w:szCs w:val="30"/>
              </w:rPr>
              <w:t>工程各项水土保持措施实施后，工程建设</w:t>
            </w:r>
            <w:r>
              <w:rPr>
                <w:rFonts w:ascii="仿宋" w:hAnsi="仿宋" w:eastAsia="仿宋" w:cs="仿宋"/>
                <w:color w:val="auto"/>
                <w:sz w:val="30"/>
                <w:szCs w:val="30"/>
              </w:rPr>
              <w:t xml:space="preserve"> </w:t>
            </w:r>
            <w:r>
              <w:rPr>
                <w:rFonts w:ascii="仿宋" w:hAnsi="仿宋" w:eastAsia="仿宋" w:cs="仿宋"/>
                <w:color w:val="auto"/>
                <w:spacing w:val="-9"/>
                <w:sz w:val="30"/>
                <w:szCs w:val="30"/>
              </w:rPr>
              <w:t>造成的各水土流失区域均得到了有效的治理和改善，施工过程中未</w:t>
            </w:r>
            <w:r>
              <w:rPr>
                <w:rFonts w:ascii="仿宋" w:hAnsi="仿宋" w:eastAsia="仿宋" w:cs="仿宋"/>
                <w:color w:val="auto"/>
                <w:spacing w:val="-3"/>
                <w:sz w:val="30"/>
                <w:szCs w:val="30"/>
              </w:rPr>
              <w:t>产生明显的水土流失危害，已实施的各项水土保持措施运行正常，</w:t>
            </w:r>
            <w:r>
              <w:rPr>
                <w:rFonts w:ascii="仿宋" w:hAnsi="仿宋" w:eastAsia="仿宋" w:cs="仿宋"/>
                <w:color w:val="auto"/>
                <w:spacing w:val="6"/>
                <w:sz w:val="30"/>
                <w:szCs w:val="30"/>
              </w:rPr>
              <w:t xml:space="preserve"> </w:t>
            </w:r>
            <w:r>
              <w:rPr>
                <w:rFonts w:ascii="仿宋" w:hAnsi="仿宋" w:eastAsia="仿宋" w:cs="仿宋"/>
                <w:color w:val="auto"/>
                <w:spacing w:val="-3"/>
                <w:sz w:val="30"/>
                <w:szCs w:val="30"/>
              </w:rPr>
              <w:t>达到了水土保持方案确定的各项水土流失防治目标。</w:t>
            </w:r>
          </w:p>
          <w:p>
            <w:pPr>
              <w:spacing w:before="1" w:line="204" w:lineRule="auto"/>
              <w:ind w:firstLine="734"/>
              <w:outlineLvl w:val="0"/>
              <w:rPr>
                <w:rFonts w:ascii="仿宋" w:hAnsi="仿宋" w:eastAsia="仿宋" w:cs="仿宋"/>
                <w:color w:val="auto"/>
                <w:sz w:val="30"/>
                <w:szCs w:val="30"/>
              </w:rPr>
            </w:pPr>
            <w:r>
              <w:rPr>
                <w:rFonts w:ascii="仿宋" w:hAnsi="仿宋" w:eastAsia="仿宋" w:cs="仿宋"/>
                <w:color w:val="auto"/>
                <w:spacing w:val="-1"/>
                <w:sz w:val="30"/>
                <w:szCs w:val="30"/>
                <w14:textOutline w14:w="3810" w14:cap="flat" w14:cmpd="sng">
                  <w14:solidFill>
                    <w14:srgbClr w14:val="000000"/>
                  </w14:solidFill>
                  <w14:prstDash w14:val="solid"/>
                  <w14:miter w14:val="0"/>
                </w14:textOutline>
              </w:rPr>
              <w:t>五、验收报告编制情况和主要结论</w:t>
            </w:r>
          </w:p>
          <w:p>
            <w:pPr>
              <w:spacing w:before="291" w:line="384" w:lineRule="auto"/>
              <w:ind w:left="114" w:right="69" w:firstLine="620"/>
              <w:rPr>
                <w:rFonts w:ascii="仿宋" w:hAnsi="仿宋" w:eastAsia="仿宋" w:cs="仿宋"/>
                <w:color w:val="auto"/>
                <w:sz w:val="30"/>
                <w:szCs w:val="30"/>
              </w:rPr>
            </w:pPr>
            <w:r>
              <w:rPr>
                <w:rFonts w:hint="eastAsia" w:ascii="仿宋" w:hAnsi="仿宋" w:eastAsia="仿宋" w:cs="仿宋"/>
                <w:color w:val="auto"/>
                <w:spacing w:val="7"/>
                <w:sz w:val="30"/>
                <w:szCs w:val="30"/>
                <w:lang w:val="en-US" w:eastAsia="zh-CN"/>
              </w:rPr>
              <w:t>衡阳市城市建设投资有限</w:t>
            </w:r>
            <w:r>
              <w:rPr>
                <w:rFonts w:ascii="仿宋" w:hAnsi="仿宋" w:eastAsia="仿宋" w:cs="仿宋"/>
                <w:color w:val="auto"/>
                <w:spacing w:val="7"/>
                <w:sz w:val="30"/>
                <w:szCs w:val="30"/>
              </w:rPr>
              <w:t>公司十分重视工程建设过程中的水土</w:t>
            </w:r>
            <w:r>
              <w:rPr>
                <w:rFonts w:ascii="仿宋" w:hAnsi="仿宋" w:eastAsia="仿宋" w:cs="仿宋"/>
                <w:color w:val="auto"/>
                <w:spacing w:val="-2"/>
                <w:sz w:val="30"/>
                <w:szCs w:val="30"/>
              </w:rPr>
              <w:t>保持工作，工程完工后，组织对各项水土保持措施进行自查初验。</w:t>
            </w:r>
            <w:r>
              <w:rPr>
                <w:rFonts w:ascii="仿宋" w:hAnsi="仿宋" w:eastAsia="仿宋" w:cs="仿宋"/>
                <w:color w:val="auto"/>
                <w:spacing w:val="11"/>
                <w:sz w:val="30"/>
                <w:szCs w:val="30"/>
              </w:rPr>
              <w:t xml:space="preserve"> </w:t>
            </w:r>
            <w:r>
              <w:rPr>
                <w:rFonts w:ascii="Times New Roman" w:hAnsi="Times New Roman" w:eastAsia="Times New Roman" w:cs="Times New Roman"/>
                <w:color w:val="auto"/>
                <w:spacing w:val="-3"/>
                <w:sz w:val="30"/>
                <w:szCs w:val="30"/>
              </w:rPr>
              <w:t>2021</w:t>
            </w:r>
            <w:r>
              <w:rPr>
                <w:rFonts w:ascii="Times New Roman" w:hAnsi="Times New Roman" w:eastAsia="Times New Roman" w:cs="Times New Roman"/>
                <w:color w:val="auto"/>
                <w:spacing w:val="85"/>
                <w:sz w:val="30"/>
                <w:szCs w:val="30"/>
              </w:rPr>
              <w:t xml:space="preserve"> </w:t>
            </w:r>
            <w:r>
              <w:rPr>
                <w:rFonts w:ascii="仿宋" w:hAnsi="仿宋" w:eastAsia="仿宋" w:cs="仿宋"/>
                <w:color w:val="auto"/>
                <w:spacing w:val="-3"/>
                <w:sz w:val="30"/>
                <w:szCs w:val="30"/>
              </w:rPr>
              <w:t>年</w:t>
            </w:r>
            <w:r>
              <w:rPr>
                <w:rFonts w:hint="eastAsia" w:ascii="仿宋" w:hAnsi="仿宋" w:eastAsia="仿宋" w:cs="仿宋"/>
                <w:color w:val="auto"/>
                <w:spacing w:val="-12"/>
                <w:sz w:val="30"/>
                <w:szCs w:val="30"/>
                <w:lang w:val="en-US" w:eastAsia="zh-CN"/>
              </w:rPr>
              <w:t>12</w:t>
            </w:r>
            <w:r>
              <w:rPr>
                <w:rFonts w:ascii="仿宋" w:hAnsi="仿宋" w:eastAsia="仿宋" w:cs="仿宋"/>
                <w:color w:val="auto"/>
                <w:spacing w:val="-3"/>
                <w:sz w:val="30"/>
                <w:szCs w:val="30"/>
              </w:rPr>
              <w:t>月，委托湖南</w:t>
            </w:r>
            <w:r>
              <w:rPr>
                <w:rFonts w:hint="eastAsia" w:ascii="仿宋" w:hAnsi="仿宋" w:eastAsia="仿宋" w:cs="仿宋"/>
                <w:color w:val="auto"/>
                <w:spacing w:val="-3"/>
                <w:sz w:val="30"/>
                <w:szCs w:val="30"/>
                <w:lang w:val="en-US" w:eastAsia="zh-CN"/>
              </w:rPr>
              <w:t>蓝博湾地理信息科技有限</w:t>
            </w:r>
            <w:r>
              <w:rPr>
                <w:rFonts w:ascii="仿宋" w:hAnsi="仿宋" w:eastAsia="仿宋" w:cs="仿宋"/>
                <w:color w:val="auto"/>
                <w:spacing w:val="-3"/>
                <w:sz w:val="30"/>
                <w:szCs w:val="30"/>
              </w:rPr>
              <w:t>有限公</w:t>
            </w:r>
            <w:r>
              <w:rPr>
                <w:rFonts w:ascii="仿宋" w:hAnsi="仿宋" w:eastAsia="仿宋" w:cs="仿宋"/>
                <w:color w:val="auto"/>
                <w:spacing w:val="-9"/>
                <w:sz w:val="30"/>
                <w:szCs w:val="30"/>
              </w:rPr>
              <w:t>司编制该项目水土保持设施验收报告，验收报告编制单位在工程完</w:t>
            </w:r>
            <w:r>
              <w:rPr>
                <w:rFonts w:ascii="仿宋" w:hAnsi="仿宋" w:eastAsia="仿宋" w:cs="仿宋"/>
                <w:color w:val="auto"/>
                <w:spacing w:val="-18"/>
                <w:sz w:val="30"/>
                <w:szCs w:val="30"/>
              </w:rPr>
              <w:t>工后便开展工作，查阅了相关施工资料，并与建设单位、监测单位</w:t>
            </w:r>
            <w:r>
              <w:rPr>
                <w:rFonts w:ascii="仿宋" w:hAnsi="仿宋" w:eastAsia="仿宋" w:cs="仿宋"/>
                <w:color w:val="auto"/>
                <w:sz w:val="30"/>
                <w:szCs w:val="30"/>
              </w:rPr>
              <w:t xml:space="preserve"> </w:t>
            </w:r>
            <w:r>
              <w:rPr>
                <w:rFonts w:ascii="仿宋" w:hAnsi="仿宋" w:eastAsia="仿宋" w:cs="仿宋"/>
                <w:color w:val="auto"/>
                <w:spacing w:val="-3"/>
                <w:sz w:val="30"/>
                <w:szCs w:val="30"/>
              </w:rPr>
              <w:t>和监理单位一起于项目现场进行实地勘查。</w:t>
            </w:r>
          </w:p>
          <w:p>
            <w:pPr>
              <w:spacing w:line="384" w:lineRule="auto"/>
              <w:ind w:left="127" w:right="107" w:firstLine="602"/>
              <w:rPr>
                <w:rFonts w:ascii="仿宋" w:hAnsi="仿宋" w:eastAsia="仿宋" w:cs="仿宋"/>
                <w:color w:val="auto"/>
                <w:sz w:val="30"/>
                <w:szCs w:val="30"/>
              </w:rPr>
            </w:pPr>
            <w:r>
              <w:rPr>
                <w:rFonts w:ascii="仿宋" w:hAnsi="仿宋" w:eastAsia="仿宋" w:cs="仿宋"/>
                <w:color w:val="auto"/>
                <w:spacing w:val="-5"/>
                <w:sz w:val="30"/>
                <w:szCs w:val="30"/>
              </w:rPr>
              <w:t>编制单位根据《水利部关于加强事中事后监管规范生产建设项</w:t>
            </w:r>
            <w:r>
              <w:rPr>
                <w:rFonts w:ascii="仿宋" w:hAnsi="仿宋" w:eastAsia="仿宋" w:cs="仿宋"/>
                <w:color w:val="auto"/>
                <w:spacing w:val="12"/>
                <w:sz w:val="30"/>
                <w:szCs w:val="30"/>
              </w:rPr>
              <w:t xml:space="preserve"> </w:t>
            </w:r>
            <w:r>
              <w:rPr>
                <w:rFonts w:ascii="仿宋" w:hAnsi="仿宋" w:eastAsia="仿宋" w:cs="仿宋"/>
                <w:color w:val="auto"/>
                <w:spacing w:val="-13"/>
                <w:sz w:val="30"/>
                <w:szCs w:val="30"/>
              </w:rPr>
              <w:t>目水土保持设施自主验收的通知》水保</w:t>
            </w:r>
            <w:r>
              <w:rPr>
                <w:rFonts w:ascii="Times New Roman" w:hAnsi="Times New Roman" w:eastAsia="Times New Roman" w:cs="Times New Roman"/>
                <w:color w:val="auto"/>
                <w:spacing w:val="-13"/>
                <w:sz w:val="30"/>
                <w:szCs w:val="30"/>
              </w:rPr>
              <w:t>[2017]365</w:t>
            </w:r>
            <w:r>
              <w:rPr>
                <w:rFonts w:ascii="Times New Roman" w:hAnsi="Times New Roman" w:eastAsia="Times New Roman" w:cs="Times New Roman"/>
                <w:color w:val="auto"/>
                <w:spacing w:val="47"/>
                <w:sz w:val="30"/>
                <w:szCs w:val="30"/>
              </w:rPr>
              <w:t xml:space="preserve"> </w:t>
            </w:r>
            <w:r>
              <w:rPr>
                <w:rFonts w:ascii="仿宋" w:hAnsi="仿宋" w:eastAsia="仿宋" w:cs="仿宋"/>
                <w:color w:val="auto"/>
                <w:spacing w:val="-13"/>
                <w:sz w:val="30"/>
                <w:szCs w:val="30"/>
              </w:rPr>
              <w:t>号，</w:t>
            </w:r>
            <w:r>
              <w:rPr>
                <w:rFonts w:ascii="仿宋" w:hAnsi="仿宋" w:eastAsia="仿宋" w:cs="仿宋"/>
                <w:color w:val="auto"/>
                <w:spacing w:val="-8"/>
                <w:sz w:val="30"/>
                <w:szCs w:val="30"/>
              </w:rPr>
              <w:t xml:space="preserve"> </w:t>
            </w:r>
            <w:r>
              <w:rPr>
                <w:rFonts w:ascii="仿宋" w:hAnsi="仿宋" w:eastAsia="仿宋" w:cs="仿宋"/>
                <w:color w:val="auto"/>
                <w:spacing w:val="-13"/>
                <w:sz w:val="30"/>
                <w:szCs w:val="30"/>
              </w:rPr>
              <w:t>编制完成《</w:t>
            </w:r>
            <w:r>
              <w:rPr>
                <w:rFonts w:hint="eastAsia" w:ascii="仿宋" w:hAnsi="仿宋" w:eastAsia="仿宋" w:cs="仿宋"/>
                <w:color w:val="auto"/>
                <w:spacing w:val="-13"/>
                <w:sz w:val="30"/>
                <w:szCs w:val="30"/>
                <w:lang w:val="en-US" w:eastAsia="zh-CN"/>
              </w:rPr>
              <w:t>华天路新建工程</w:t>
            </w:r>
            <w:r>
              <w:rPr>
                <w:rFonts w:ascii="仿宋" w:hAnsi="仿宋" w:eastAsia="仿宋" w:cs="仿宋"/>
                <w:color w:val="auto"/>
                <w:spacing w:val="7"/>
                <w:sz w:val="30"/>
                <w:szCs w:val="30"/>
              </w:rPr>
              <w:t>项目水土保持</w:t>
            </w:r>
            <w:r>
              <w:rPr>
                <w:rFonts w:ascii="仿宋" w:hAnsi="仿宋" w:eastAsia="仿宋" w:cs="仿宋"/>
                <w:color w:val="auto"/>
                <w:spacing w:val="-16"/>
                <w:sz w:val="30"/>
                <w:szCs w:val="30"/>
              </w:rPr>
              <w:t>设施验收报告》，主要结论如下：</w:t>
            </w:r>
          </w:p>
          <w:p>
            <w:pPr>
              <w:spacing w:before="280" w:line="287" w:lineRule="auto"/>
              <w:ind w:left="147" w:right="107" w:firstLine="595"/>
              <w:rPr>
                <w:rFonts w:ascii="仿宋" w:hAnsi="仿宋" w:eastAsia="仿宋" w:cs="仿宋"/>
                <w:color w:val="auto"/>
                <w:sz w:val="30"/>
                <w:szCs w:val="30"/>
              </w:rPr>
            </w:pPr>
            <w:r>
              <w:rPr>
                <w:rFonts w:ascii="Times New Roman" w:hAnsi="Times New Roman" w:eastAsia="Times New Roman" w:cs="Times New Roman"/>
                <w:color w:val="auto"/>
                <w:spacing w:val="-5"/>
                <w:sz w:val="30"/>
                <w:szCs w:val="30"/>
              </w:rPr>
              <w:t>1</w:t>
            </w:r>
            <w:r>
              <w:rPr>
                <w:rFonts w:ascii="仿宋" w:hAnsi="仿宋" w:eastAsia="仿宋" w:cs="仿宋"/>
                <w:color w:val="auto"/>
                <w:spacing w:val="-5"/>
                <w:sz w:val="30"/>
                <w:szCs w:val="30"/>
              </w:rPr>
              <w:t>、水土保持方案批复的防治责任范围为</w:t>
            </w:r>
            <w:r>
              <w:rPr>
                <w:rFonts w:ascii="仿宋" w:hAnsi="仿宋" w:eastAsia="仿宋" w:cs="仿宋"/>
                <w:color w:val="auto"/>
                <w:spacing w:val="-62"/>
                <w:sz w:val="30"/>
                <w:szCs w:val="30"/>
              </w:rPr>
              <w:t xml:space="preserve"> </w:t>
            </w:r>
            <w:r>
              <w:rPr>
                <w:rFonts w:hint="eastAsia" w:ascii="Times New Roman" w:hAnsi="Times New Roman" w:eastAsia="宋体" w:cs="Times New Roman"/>
                <w:color w:val="auto"/>
                <w:spacing w:val="-5"/>
                <w:sz w:val="30"/>
                <w:szCs w:val="30"/>
                <w:lang w:val="en-US" w:eastAsia="zh-CN"/>
              </w:rPr>
              <w:t>9.27</w:t>
            </w:r>
            <w:r>
              <w:rPr>
                <w:rFonts w:ascii="Times New Roman" w:hAnsi="Times New Roman" w:eastAsia="Times New Roman" w:cs="Times New Roman"/>
                <w:color w:val="auto"/>
                <w:spacing w:val="-5"/>
                <w:sz w:val="30"/>
                <w:szCs w:val="30"/>
              </w:rPr>
              <w:t>hm</w:t>
            </w:r>
            <w:r>
              <w:rPr>
                <w:rFonts w:ascii="Times New Roman" w:hAnsi="Times New Roman" w:eastAsia="Times New Roman" w:cs="Times New Roman"/>
                <w:color w:val="auto"/>
                <w:spacing w:val="-5"/>
                <w:position w:val="13"/>
                <w:sz w:val="19"/>
                <w:szCs w:val="19"/>
              </w:rPr>
              <w:t>2</w:t>
            </w:r>
            <w:r>
              <w:rPr>
                <w:rFonts w:ascii="仿宋" w:hAnsi="仿宋" w:eastAsia="仿宋" w:cs="仿宋"/>
                <w:color w:val="auto"/>
                <w:spacing w:val="-5"/>
                <w:sz w:val="30"/>
                <w:szCs w:val="30"/>
              </w:rPr>
              <w:t>，实际发生的</w:t>
            </w:r>
            <w:r>
              <w:rPr>
                <w:rFonts w:ascii="仿宋" w:hAnsi="仿宋" w:eastAsia="仿宋" w:cs="仿宋"/>
                <w:color w:val="auto"/>
                <w:sz w:val="30"/>
                <w:szCs w:val="30"/>
              </w:rPr>
              <w:t xml:space="preserve"> </w:t>
            </w:r>
            <w:r>
              <w:rPr>
                <w:rFonts w:ascii="仿宋" w:hAnsi="仿宋" w:eastAsia="仿宋" w:cs="仿宋"/>
                <w:color w:val="auto"/>
                <w:spacing w:val="-5"/>
                <w:sz w:val="30"/>
                <w:szCs w:val="30"/>
              </w:rPr>
              <w:t>防治责任范围为</w:t>
            </w:r>
            <w:r>
              <w:rPr>
                <w:rFonts w:ascii="仿宋" w:hAnsi="仿宋" w:eastAsia="仿宋" w:cs="仿宋"/>
                <w:color w:val="auto"/>
                <w:spacing w:val="-51"/>
                <w:sz w:val="30"/>
                <w:szCs w:val="30"/>
              </w:rPr>
              <w:t xml:space="preserve"> </w:t>
            </w:r>
            <w:r>
              <w:rPr>
                <w:rFonts w:hint="eastAsia" w:ascii="Times New Roman" w:hAnsi="Times New Roman" w:eastAsia="宋体" w:cs="Times New Roman"/>
                <w:color w:val="auto"/>
                <w:spacing w:val="-5"/>
                <w:sz w:val="30"/>
                <w:szCs w:val="30"/>
                <w:lang w:val="en-US" w:eastAsia="zh-CN"/>
              </w:rPr>
              <w:t>9.27</w:t>
            </w:r>
            <w:r>
              <w:rPr>
                <w:rFonts w:ascii="Times New Roman" w:hAnsi="Times New Roman" w:eastAsia="Times New Roman" w:cs="Times New Roman"/>
                <w:color w:val="auto"/>
                <w:spacing w:val="-5"/>
                <w:sz w:val="30"/>
                <w:szCs w:val="30"/>
              </w:rPr>
              <w:t>hm</w:t>
            </w:r>
            <w:r>
              <w:rPr>
                <w:rFonts w:ascii="Times New Roman" w:hAnsi="Times New Roman" w:eastAsia="Times New Roman" w:cs="Times New Roman"/>
                <w:color w:val="auto"/>
                <w:spacing w:val="-5"/>
                <w:position w:val="13"/>
                <w:sz w:val="19"/>
                <w:szCs w:val="19"/>
              </w:rPr>
              <w:t>2</w:t>
            </w:r>
            <w:r>
              <w:rPr>
                <w:rFonts w:ascii="Times New Roman" w:hAnsi="Times New Roman" w:eastAsia="Times New Roman" w:cs="Times New Roman"/>
                <w:color w:val="auto"/>
                <w:spacing w:val="-6"/>
                <w:position w:val="13"/>
                <w:sz w:val="19"/>
                <w:szCs w:val="19"/>
              </w:rPr>
              <w:t xml:space="preserve"> </w:t>
            </w:r>
            <w:r>
              <w:rPr>
                <w:rFonts w:ascii="仿宋" w:hAnsi="仿宋" w:eastAsia="仿宋" w:cs="仿宋"/>
                <w:color w:val="auto"/>
                <w:spacing w:val="-5"/>
                <w:sz w:val="30"/>
                <w:szCs w:val="30"/>
              </w:rPr>
              <w:t>，防治责任范围减少</w:t>
            </w:r>
            <w:r>
              <w:rPr>
                <w:rFonts w:ascii="仿宋" w:hAnsi="仿宋" w:eastAsia="仿宋" w:cs="仿宋"/>
                <w:color w:val="auto"/>
                <w:spacing w:val="-26"/>
                <w:sz w:val="30"/>
                <w:szCs w:val="30"/>
              </w:rPr>
              <w:t xml:space="preserve"> </w:t>
            </w:r>
            <w:r>
              <w:rPr>
                <w:rFonts w:ascii="Times New Roman" w:hAnsi="Times New Roman" w:eastAsia="Times New Roman" w:cs="Times New Roman"/>
                <w:color w:val="auto"/>
                <w:spacing w:val="-5"/>
                <w:sz w:val="30"/>
                <w:szCs w:val="30"/>
              </w:rPr>
              <w:t>0</w:t>
            </w:r>
            <w:r>
              <w:rPr>
                <w:rFonts w:hint="eastAsia" w:ascii="Times New Roman" w:hAnsi="Times New Roman" w:eastAsia="宋体" w:cs="Times New Roman"/>
                <w:color w:val="auto"/>
                <w:spacing w:val="-5"/>
                <w:sz w:val="30"/>
                <w:szCs w:val="30"/>
                <w:lang w:val="en-US" w:eastAsia="zh-CN"/>
              </w:rPr>
              <w:t xml:space="preserve"> </w:t>
            </w:r>
            <w:r>
              <w:rPr>
                <w:rFonts w:ascii="Times New Roman" w:hAnsi="Times New Roman" w:eastAsia="Times New Roman" w:cs="Times New Roman"/>
                <w:color w:val="auto"/>
                <w:spacing w:val="-5"/>
                <w:sz w:val="30"/>
                <w:szCs w:val="30"/>
              </w:rPr>
              <w:t>hm</w:t>
            </w:r>
            <w:r>
              <w:rPr>
                <w:rFonts w:ascii="Times New Roman" w:hAnsi="Times New Roman" w:eastAsia="Times New Roman" w:cs="Times New Roman"/>
                <w:color w:val="auto"/>
                <w:spacing w:val="-5"/>
                <w:position w:val="13"/>
                <w:sz w:val="19"/>
                <w:szCs w:val="19"/>
              </w:rPr>
              <w:t>2</w:t>
            </w:r>
            <w:r>
              <w:rPr>
                <w:rFonts w:ascii="仿宋" w:hAnsi="仿宋" w:eastAsia="仿宋" w:cs="仿宋"/>
                <w:color w:val="auto"/>
                <w:spacing w:val="-5"/>
                <w:sz w:val="30"/>
                <w:szCs w:val="30"/>
              </w:rPr>
              <w:t>。</w:t>
            </w:r>
          </w:p>
          <w:p>
            <w:pPr>
              <w:spacing w:before="310" w:line="343" w:lineRule="auto"/>
              <w:ind w:left="110" w:right="107" w:firstLine="603"/>
              <w:rPr>
                <w:rFonts w:ascii="仿宋" w:hAnsi="仿宋" w:eastAsia="仿宋" w:cs="仿宋"/>
                <w:color w:val="auto"/>
                <w:sz w:val="30"/>
                <w:szCs w:val="30"/>
              </w:rPr>
            </w:pPr>
            <w:r>
              <w:rPr>
                <w:rFonts w:ascii="Times New Roman" w:hAnsi="Times New Roman" w:eastAsia="Times New Roman" w:cs="Times New Roman"/>
                <w:color w:val="auto"/>
                <w:spacing w:val="-5"/>
                <w:sz w:val="30"/>
                <w:szCs w:val="30"/>
              </w:rPr>
              <w:t>2</w:t>
            </w:r>
            <w:r>
              <w:rPr>
                <w:rFonts w:ascii="仿宋" w:hAnsi="仿宋" w:eastAsia="仿宋" w:cs="仿宋"/>
                <w:color w:val="auto"/>
                <w:spacing w:val="-5"/>
                <w:sz w:val="30"/>
                <w:szCs w:val="30"/>
              </w:rPr>
              <w:t>、工程实际建设中，土石方开挖总量</w:t>
            </w:r>
            <w:r>
              <w:rPr>
                <w:rFonts w:hint="eastAsia" w:ascii="仿宋" w:hAnsi="仿宋" w:eastAsia="仿宋" w:cs="仿宋"/>
                <w:color w:val="auto"/>
                <w:spacing w:val="-5"/>
                <w:sz w:val="30"/>
                <w:szCs w:val="30"/>
                <w:lang w:val="en-US" w:eastAsia="zh-CN"/>
              </w:rPr>
              <w:t xml:space="preserve"> </w:t>
            </w:r>
            <w:r>
              <w:rPr>
                <w:rFonts w:hint="eastAsia" w:ascii="Times New Roman" w:hAnsi="Times New Roman" w:eastAsia="宋体" w:cs="Times New Roman"/>
                <w:color w:val="auto"/>
                <w:spacing w:val="-5"/>
                <w:sz w:val="30"/>
                <w:szCs w:val="30"/>
                <w:lang w:val="en-US" w:eastAsia="zh-CN"/>
              </w:rPr>
              <w:t>5.02</w:t>
            </w:r>
            <w:r>
              <w:rPr>
                <w:rFonts w:ascii="Times New Roman" w:hAnsi="Times New Roman" w:eastAsia="Times New Roman" w:cs="Times New Roman"/>
                <w:color w:val="auto"/>
                <w:spacing w:val="36"/>
                <w:sz w:val="30"/>
                <w:szCs w:val="30"/>
              </w:rPr>
              <w:t xml:space="preserve"> </w:t>
            </w:r>
            <w:r>
              <w:rPr>
                <w:rFonts w:ascii="仿宋" w:hAnsi="仿宋" w:eastAsia="仿宋" w:cs="仿宋"/>
                <w:color w:val="auto"/>
                <w:spacing w:val="-5"/>
                <w:sz w:val="30"/>
                <w:szCs w:val="30"/>
              </w:rPr>
              <w:t>万</w:t>
            </w:r>
            <w:r>
              <w:rPr>
                <w:rFonts w:ascii="仿宋" w:hAnsi="仿宋" w:eastAsia="仿宋" w:cs="仿宋"/>
                <w:color w:val="auto"/>
                <w:spacing w:val="-58"/>
                <w:sz w:val="30"/>
                <w:szCs w:val="30"/>
              </w:rPr>
              <w:t xml:space="preserve"> </w:t>
            </w:r>
            <w:r>
              <w:rPr>
                <w:rFonts w:ascii="Times New Roman" w:hAnsi="Times New Roman" w:eastAsia="Times New Roman" w:cs="Times New Roman"/>
                <w:color w:val="auto"/>
                <w:spacing w:val="-5"/>
                <w:sz w:val="30"/>
                <w:szCs w:val="30"/>
              </w:rPr>
              <w:t>m</w:t>
            </w:r>
            <w:r>
              <w:rPr>
                <w:rFonts w:ascii="Times New Roman" w:hAnsi="Times New Roman" w:eastAsia="Times New Roman" w:cs="Times New Roman"/>
                <w:color w:val="auto"/>
                <w:spacing w:val="-5"/>
                <w:position w:val="13"/>
                <w:sz w:val="19"/>
                <w:szCs w:val="19"/>
              </w:rPr>
              <w:t>3</w:t>
            </w:r>
            <w:r>
              <w:rPr>
                <w:rFonts w:ascii="Times New Roman" w:hAnsi="Times New Roman" w:eastAsia="Times New Roman" w:cs="Times New Roman"/>
                <w:color w:val="auto"/>
                <w:spacing w:val="-6"/>
                <w:position w:val="13"/>
                <w:sz w:val="19"/>
                <w:szCs w:val="19"/>
              </w:rPr>
              <w:t xml:space="preserve"> </w:t>
            </w:r>
            <w:r>
              <w:rPr>
                <w:rFonts w:ascii="仿宋" w:hAnsi="仿宋" w:eastAsia="仿宋" w:cs="仿宋"/>
                <w:color w:val="auto"/>
                <w:spacing w:val="-5"/>
                <w:sz w:val="30"/>
                <w:szCs w:val="30"/>
              </w:rPr>
              <w:t>，比方案报</w:t>
            </w:r>
            <w:r>
              <w:rPr>
                <w:rFonts w:ascii="仿宋" w:hAnsi="仿宋" w:eastAsia="仿宋" w:cs="仿宋"/>
                <w:color w:val="auto"/>
                <w:sz w:val="30"/>
                <w:szCs w:val="30"/>
              </w:rPr>
              <w:t xml:space="preserve"> </w:t>
            </w:r>
            <w:r>
              <w:rPr>
                <w:rFonts w:ascii="仿宋" w:hAnsi="仿宋" w:eastAsia="仿宋" w:cs="仿宋"/>
                <w:color w:val="auto"/>
                <w:spacing w:val="-7"/>
                <w:sz w:val="30"/>
                <w:szCs w:val="30"/>
              </w:rPr>
              <w:t>告书增加</w:t>
            </w:r>
            <w:r>
              <w:rPr>
                <w:rFonts w:ascii="仿宋" w:hAnsi="仿宋" w:eastAsia="仿宋" w:cs="仿宋"/>
                <w:color w:val="auto"/>
                <w:spacing w:val="-37"/>
                <w:sz w:val="30"/>
                <w:szCs w:val="30"/>
              </w:rPr>
              <w:t xml:space="preserve"> </w:t>
            </w:r>
            <w:r>
              <w:rPr>
                <w:rFonts w:hint="eastAsia" w:ascii="Times New Roman" w:hAnsi="Times New Roman" w:eastAsia="宋体" w:cs="Times New Roman"/>
                <w:color w:val="auto"/>
                <w:spacing w:val="-7"/>
                <w:sz w:val="30"/>
                <w:szCs w:val="30"/>
                <w:lang w:val="en-US" w:eastAsia="zh-CN"/>
              </w:rPr>
              <w:t>0</w:t>
            </w:r>
            <w:r>
              <w:rPr>
                <w:rFonts w:ascii="Times New Roman" w:hAnsi="Times New Roman" w:eastAsia="Times New Roman" w:cs="Times New Roman"/>
                <w:color w:val="auto"/>
                <w:spacing w:val="22"/>
                <w:sz w:val="30"/>
                <w:szCs w:val="30"/>
              </w:rPr>
              <w:t xml:space="preserve"> </w:t>
            </w:r>
            <w:r>
              <w:rPr>
                <w:rFonts w:ascii="仿宋" w:hAnsi="仿宋" w:eastAsia="仿宋" w:cs="仿宋"/>
                <w:color w:val="auto"/>
                <w:spacing w:val="-7"/>
                <w:sz w:val="30"/>
                <w:szCs w:val="30"/>
              </w:rPr>
              <w:t>万</w:t>
            </w:r>
            <w:r>
              <w:rPr>
                <w:rFonts w:ascii="仿宋" w:hAnsi="仿宋" w:eastAsia="仿宋" w:cs="仿宋"/>
                <w:color w:val="auto"/>
                <w:spacing w:val="-73"/>
                <w:sz w:val="30"/>
                <w:szCs w:val="30"/>
              </w:rPr>
              <w:t xml:space="preserve"> </w:t>
            </w:r>
            <w:r>
              <w:rPr>
                <w:rFonts w:ascii="Times New Roman" w:hAnsi="Times New Roman" w:eastAsia="Times New Roman" w:cs="Times New Roman"/>
                <w:color w:val="auto"/>
                <w:spacing w:val="-7"/>
                <w:sz w:val="30"/>
                <w:szCs w:val="30"/>
              </w:rPr>
              <w:t>m</w:t>
            </w:r>
            <w:r>
              <w:rPr>
                <w:rFonts w:ascii="Times New Roman" w:hAnsi="Times New Roman" w:eastAsia="Times New Roman" w:cs="Times New Roman"/>
                <w:color w:val="auto"/>
                <w:spacing w:val="-7"/>
                <w:position w:val="13"/>
                <w:sz w:val="19"/>
                <w:szCs w:val="19"/>
              </w:rPr>
              <w:t>3</w:t>
            </w:r>
            <w:r>
              <w:rPr>
                <w:rFonts w:ascii="仿宋" w:hAnsi="仿宋" w:eastAsia="仿宋" w:cs="仿宋"/>
                <w:color w:val="auto"/>
                <w:spacing w:val="-7"/>
                <w:sz w:val="30"/>
                <w:szCs w:val="30"/>
              </w:rPr>
              <w:t>；土石方回填及填筑总量</w:t>
            </w:r>
            <w:r>
              <w:rPr>
                <w:rFonts w:ascii="仿宋" w:hAnsi="仿宋" w:eastAsia="仿宋" w:cs="仿宋"/>
                <w:color w:val="auto"/>
                <w:spacing w:val="-61"/>
                <w:sz w:val="30"/>
                <w:szCs w:val="30"/>
              </w:rPr>
              <w:t xml:space="preserve"> </w:t>
            </w:r>
            <w:r>
              <w:rPr>
                <w:rFonts w:hint="eastAsia" w:ascii="Times New Roman" w:hAnsi="Times New Roman" w:eastAsia="宋体" w:cs="Times New Roman"/>
                <w:color w:val="auto"/>
                <w:spacing w:val="-7"/>
                <w:sz w:val="30"/>
                <w:szCs w:val="30"/>
                <w:lang w:val="en-US" w:eastAsia="zh-CN"/>
              </w:rPr>
              <w:t>12.74</w:t>
            </w:r>
            <w:r>
              <w:rPr>
                <w:rFonts w:ascii="仿宋" w:hAnsi="仿宋" w:eastAsia="仿宋" w:cs="仿宋"/>
                <w:color w:val="auto"/>
                <w:spacing w:val="-7"/>
                <w:sz w:val="30"/>
                <w:szCs w:val="30"/>
              </w:rPr>
              <w:t>万</w:t>
            </w:r>
            <w:r>
              <w:rPr>
                <w:rFonts w:ascii="仿宋" w:hAnsi="仿宋" w:eastAsia="仿宋" w:cs="仿宋"/>
                <w:color w:val="auto"/>
                <w:spacing w:val="-74"/>
                <w:sz w:val="30"/>
                <w:szCs w:val="30"/>
              </w:rPr>
              <w:t xml:space="preserve"> </w:t>
            </w:r>
            <w:r>
              <w:rPr>
                <w:rFonts w:ascii="Times New Roman" w:hAnsi="Times New Roman" w:eastAsia="Times New Roman" w:cs="Times New Roman"/>
                <w:color w:val="auto"/>
                <w:spacing w:val="-7"/>
                <w:sz w:val="30"/>
                <w:szCs w:val="30"/>
              </w:rPr>
              <w:t>m</w:t>
            </w:r>
            <w:r>
              <w:rPr>
                <w:rFonts w:ascii="Times New Roman" w:hAnsi="Times New Roman" w:eastAsia="Times New Roman" w:cs="Times New Roman"/>
                <w:color w:val="auto"/>
                <w:spacing w:val="-7"/>
                <w:position w:val="13"/>
                <w:sz w:val="19"/>
                <w:szCs w:val="19"/>
              </w:rPr>
              <w:t>3</w:t>
            </w:r>
            <w:r>
              <w:rPr>
                <w:rFonts w:ascii="仿宋" w:hAnsi="仿宋" w:eastAsia="仿宋" w:cs="仿宋"/>
                <w:color w:val="auto"/>
                <w:spacing w:val="-7"/>
                <w:sz w:val="30"/>
                <w:szCs w:val="30"/>
              </w:rPr>
              <w:t>，比方案报</w:t>
            </w:r>
            <w:r>
              <w:rPr>
                <w:rFonts w:ascii="仿宋" w:hAnsi="仿宋" w:eastAsia="仿宋" w:cs="仿宋"/>
                <w:color w:val="auto"/>
                <w:sz w:val="30"/>
                <w:szCs w:val="30"/>
              </w:rPr>
              <w:t xml:space="preserve"> </w:t>
            </w:r>
            <w:r>
              <w:rPr>
                <w:rFonts w:ascii="仿宋" w:hAnsi="仿宋" w:eastAsia="仿宋" w:cs="仿宋"/>
                <w:color w:val="auto"/>
                <w:spacing w:val="-7"/>
                <w:sz w:val="30"/>
                <w:szCs w:val="30"/>
              </w:rPr>
              <w:t>告书增加</w:t>
            </w:r>
            <w:r>
              <w:rPr>
                <w:rFonts w:ascii="仿宋" w:hAnsi="仿宋" w:eastAsia="仿宋" w:cs="仿宋"/>
                <w:color w:val="auto"/>
                <w:spacing w:val="-62"/>
                <w:sz w:val="30"/>
                <w:szCs w:val="30"/>
              </w:rPr>
              <w:t xml:space="preserve"> </w:t>
            </w:r>
            <w:r>
              <w:rPr>
                <w:rFonts w:ascii="Times New Roman" w:hAnsi="Times New Roman" w:eastAsia="Times New Roman" w:cs="Times New Roman"/>
                <w:color w:val="auto"/>
                <w:spacing w:val="-7"/>
                <w:sz w:val="30"/>
                <w:szCs w:val="30"/>
              </w:rPr>
              <w:t>0</w:t>
            </w:r>
            <w:r>
              <w:rPr>
                <w:rFonts w:ascii="Times New Roman" w:hAnsi="Times New Roman" w:eastAsia="Times New Roman" w:cs="Times New Roman"/>
                <w:color w:val="auto"/>
                <w:spacing w:val="21"/>
                <w:w w:val="101"/>
                <w:sz w:val="30"/>
                <w:szCs w:val="30"/>
              </w:rPr>
              <w:t xml:space="preserve"> </w:t>
            </w:r>
            <w:r>
              <w:rPr>
                <w:rFonts w:ascii="仿宋" w:hAnsi="仿宋" w:eastAsia="仿宋" w:cs="仿宋"/>
                <w:color w:val="auto"/>
                <w:spacing w:val="-7"/>
                <w:sz w:val="30"/>
                <w:szCs w:val="30"/>
              </w:rPr>
              <w:t>万</w:t>
            </w:r>
            <w:r>
              <w:rPr>
                <w:rFonts w:ascii="仿宋" w:hAnsi="仿宋" w:eastAsia="仿宋" w:cs="仿宋"/>
                <w:color w:val="auto"/>
                <w:spacing w:val="-74"/>
                <w:sz w:val="30"/>
                <w:szCs w:val="30"/>
              </w:rPr>
              <w:t xml:space="preserve"> </w:t>
            </w:r>
            <w:r>
              <w:rPr>
                <w:rFonts w:ascii="Times New Roman" w:hAnsi="Times New Roman" w:eastAsia="Times New Roman" w:cs="Times New Roman"/>
                <w:color w:val="auto"/>
                <w:spacing w:val="-7"/>
                <w:sz w:val="30"/>
                <w:szCs w:val="30"/>
              </w:rPr>
              <w:t>m</w:t>
            </w:r>
            <w:r>
              <w:rPr>
                <w:rFonts w:ascii="Times New Roman" w:hAnsi="Times New Roman" w:eastAsia="Times New Roman" w:cs="Times New Roman"/>
                <w:color w:val="auto"/>
                <w:spacing w:val="-7"/>
                <w:position w:val="13"/>
                <w:sz w:val="19"/>
                <w:szCs w:val="19"/>
              </w:rPr>
              <w:t>3</w:t>
            </w:r>
            <w:r>
              <w:rPr>
                <w:rFonts w:ascii="Times New Roman" w:hAnsi="Times New Roman" w:eastAsia="Times New Roman" w:cs="Times New Roman"/>
                <w:color w:val="auto"/>
                <w:spacing w:val="-6"/>
                <w:position w:val="13"/>
                <w:sz w:val="19"/>
                <w:szCs w:val="19"/>
              </w:rPr>
              <w:t xml:space="preserve"> </w:t>
            </w:r>
            <w:r>
              <w:rPr>
                <w:rFonts w:ascii="仿宋" w:hAnsi="仿宋" w:eastAsia="仿宋" w:cs="仿宋"/>
                <w:color w:val="auto"/>
                <w:spacing w:val="-7"/>
                <w:sz w:val="30"/>
                <w:szCs w:val="30"/>
              </w:rPr>
              <w:t>；余方</w:t>
            </w:r>
            <w:r>
              <w:rPr>
                <w:rFonts w:ascii="仿宋" w:hAnsi="仿宋" w:eastAsia="仿宋" w:cs="仿宋"/>
                <w:color w:val="auto"/>
                <w:spacing w:val="-63"/>
                <w:sz w:val="30"/>
                <w:szCs w:val="30"/>
              </w:rPr>
              <w:t xml:space="preserve"> </w:t>
            </w:r>
            <w:r>
              <w:rPr>
                <w:rFonts w:hint="eastAsia" w:ascii="Times New Roman" w:hAnsi="Times New Roman" w:eastAsia="宋体" w:cs="Times New Roman"/>
                <w:color w:val="auto"/>
                <w:spacing w:val="-7"/>
                <w:sz w:val="30"/>
                <w:szCs w:val="30"/>
                <w:lang w:val="en-US" w:eastAsia="zh-CN"/>
              </w:rPr>
              <w:t>5.02</w:t>
            </w:r>
            <w:r>
              <w:rPr>
                <w:rFonts w:ascii="Times New Roman" w:hAnsi="Times New Roman" w:eastAsia="Times New Roman" w:cs="Times New Roman"/>
                <w:color w:val="auto"/>
                <w:spacing w:val="22"/>
                <w:sz w:val="30"/>
                <w:szCs w:val="30"/>
              </w:rPr>
              <w:t xml:space="preserve"> </w:t>
            </w:r>
            <w:r>
              <w:rPr>
                <w:rFonts w:ascii="仿宋" w:hAnsi="仿宋" w:eastAsia="仿宋" w:cs="仿宋"/>
                <w:color w:val="auto"/>
                <w:spacing w:val="-7"/>
                <w:sz w:val="30"/>
                <w:szCs w:val="30"/>
              </w:rPr>
              <w:t>万</w:t>
            </w:r>
            <w:r>
              <w:rPr>
                <w:rFonts w:ascii="仿宋" w:hAnsi="仿宋" w:eastAsia="仿宋" w:cs="仿宋"/>
                <w:color w:val="auto"/>
                <w:spacing w:val="-73"/>
                <w:sz w:val="30"/>
                <w:szCs w:val="30"/>
              </w:rPr>
              <w:t xml:space="preserve"> </w:t>
            </w:r>
            <w:r>
              <w:rPr>
                <w:rFonts w:ascii="Times New Roman" w:hAnsi="Times New Roman" w:eastAsia="Times New Roman" w:cs="Times New Roman"/>
                <w:color w:val="auto"/>
                <w:spacing w:val="-7"/>
                <w:sz w:val="30"/>
                <w:szCs w:val="30"/>
              </w:rPr>
              <w:t>m</w:t>
            </w:r>
            <w:r>
              <w:rPr>
                <w:rFonts w:ascii="Times New Roman" w:hAnsi="Times New Roman" w:eastAsia="Times New Roman" w:cs="Times New Roman"/>
                <w:color w:val="auto"/>
                <w:spacing w:val="-7"/>
                <w:position w:val="13"/>
                <w:sz w:val="19"/>
                <w:szCs w:val="19"/>
              </w:rPr>
              <w:t xml:space="preserve">3 </w:t>
            </w:r>
            <w:r>
              <w:rPr>
                <w:rFonts w:ascii="仿宋" w:hAnsi="仿宋" w:eastAsia="仿宋" w:cs="仿宋"/>
                <w:color w:val="auto"/>
                <w:spacing w:val="-7"/>
                <w:sz w:val="30"/>
                <w:szCs w:val="30"/>
              </w:rPr>
              <w:t>，比方案报告书增加</w:t>
            </w:r>
            <w:r>
              <w:rPr>
                <w:rFonts w:ascii="仿宋" w:hAnsi="仿宋" w:eastAsia="仿宋" w:cs="仿宋"/>
                <w:color w:val="auto"/>
                <w:spacing w:val="-62"/>
                <w:sz w:val="30"/>
                <w:szCs w:val="30"/>
              </w:rPr>
              <w:t xml:space="preserve"> </w:t>
            </w:r>
            <w:r>
              <w:rPr>
                <w:rFonts w:hint="eastAsia" w:ascii="Times New Roman" w:hAnsi="Times New Roman" w:eastAsia="宋体" w:cs="Times New Roman"/>
                <w:color w:val="auto"/>
                <w:spacing w:val="-7"/>
                <w:sz w:val="30"/>
                <w:szCs w:val="30"/>
                <w:lang w:val="en-US" w:eastAsia="zh-CN"/>
              </w:rPr>
              <w:t>0</w:t>
            </w:r>
            <w:r>
              <w:rPr>
                <w:rFonts w:ascii="仿宋" w:hAnsi="仿宋" w:eastAsia="仿宋" w:cs="仿宋"/>
                <w:color w:val="auto"/>
                <w:spacing w:val="-7"/>
                <w:sz w:val="30"/>
                <w:szCs w:val="30"/>
              </w:rPr>
              <w:t>万</w:t>
            </w:r>
            <w:r>
              <w:rPr>
                <w:rFonts w:ascii="仿宋" w:hAnsi="仿宋" w:eastAsia="仿宋" w:cs="仿宋"/>
                <w:color w:val="auto"/>
                <w:sz w:val="30"/>
                <w:szCs w:val="30"/>
              </w:rPr>
              <w:t xml:space="preserve"> </w:t>
            </w:r>
            <w:r>
              <w:rPr>
                <w:rFonts w:ascii="Times New Roman" w:hAnsi="Times New Roman" w:eastAsia="Times New Roman" w:cs="Times New Roman"/>
                <w:color w:val="auto"/>
                <w:spacing w:val="-4"/>
                <w:sz w:val="30"/>
                <w:szCs w:val="30"/>
              </w:rPr>
              <w:t>m</w:t>
            </w:r>
            <w:r>
              <w:rPr>
                <w:rFonts w:ascii="Times New Roman" w:hAnsi="Times New Roman" w:eastAsia="Times New Roman" w:cs="Times New Roman"/>
                <w:color w:val="auto"/>
                <w:spacing w:val="-4"/>
                <w:position w:val="13"/>
                <w:sz w:val="19"/>
                <w:szCs w:val="19"/>
              </w:rPr>
              <w:t>3</w:t>
            </w:r>
            <w:r>
              <w:rPr>
                <w:rFonts w:ascii="仿宋" w:hAnsi="仿宋" w:eastAsia="仿宋" w:cs="仿宋"/>
                <w:color w:val="auto"/>
                <w:spacing w:val="-4"/>
                <w:sz w:val="30"/>
                <w:szCs w:val="30"/>
              </w:rPr>
              <w:t>，余方由</w:t>
            </w:r>
            <w:r>
              <w:rPr>
                <w:rFonts w:hint="eastAsia" w:ascii="仿宋" w:hAnsi="仿宋" w:eastAsia="仿宋" w:cs="仿宋"/>
                <w:color w:val="auto"/>
                <w:spacing w:val="-4"/>
                <w:sz w:val="30"/>
                <w:szCs w:val="30"/>
                <w:lang w:val="en-US" w:eastAsia="zh-CN"/>
              </w:rPr>
              <w:t>湖南顺天集团建设有限公司</w:t>
            </w:r>
            <w:r>
              <w:rPr>
                <w:rFonts w:ascii="仿宋" w:hAnsi="仿宋" w:eastAsia="仿宋" w:cs="仿宋"/>
                <w:color w:val="auto"/>
                <w:spacing w:val="-4"/>
                <w:sz w:val="30"/>
                <w:szCs w:val="30"/>
              </w:rPr>
              <w:t>统一调运。根据工程实际建设情况</w:t>
            </w:r>
            <w:r>
              <w:rPr>
                <w:rFonts w:hint="eastAsia" w:ascii="仿宋" w:hAnsi="仿宋" w:eastAsia="仿宋" w:cs="仿宋"/>
                <w:color w:val="auto"/>
                <w:spacing w:val="-4"/>
                <w:sz w:val="30"/>
                <w:szCs w:val="30"/>
                <w:lang w:val="en-US" w:eastAsia="zh-CN"/>
              </w:rPr>
              <w:t xml:space="preserve"> </w:t>
            </w:r>
            <w:r>
              <w:rPr>
                <w:rFonts w:ascii="仿宋" w:hAnsi="仿宋" w:eastAsia="仿宋" w:cs="仿宋"/>
                <w:color w:val="auto"/>
                <w:spacing w:val="-4"/>
                <w:sz w:val="30"/>
                <w:szCs w:val="30"/>
              </w:rPr>
              <w:t>及水土保持监测资料，本工程表土剥离总量</w:t>
            </w:r>
            <w:r>
              <w:rPr>
                <w:rFonts w:ascii="仿宋" w:hAnsi="仿宋" w:eastAsia="仿宋" w:cs="仿宋"/>
                <w:color w:val="auto"/>
                <w:spacing w:val="-25"/>
                <w:sz w:val="30"/>
                <w:szCs w:val="30"/>
              </w:rPr>
              <w:t xml:space="preserve"> </w:t>
            </w:r>
            <w:r>
              <w:rPr>
                <w:rFonts w:hint="eastAsia" w:ascii="Times New Roman" w:hAnsi="Times New Roman" w:eastAsia="宋体" w:cs="Times New Roman"/>
                <w:color w:val="auto"/>
                <w:spacing w:val="-4"/>
                <w:sz w:val="30"/>
                <w:szCs w:val="30"/>
                <w:lang w:val="en-US" w:eastAsia="zh-CN"/>
              </w:rPr>
              <w:t>2.63</w:t>
            </w:r>
            <w:r>
              <w:rPr>
                <w:rFonts w:ascii="Times New Roman" w:hAnsi="Times New Roman" w:eastAsia="Times New Roman" w:cs="Times New Roman"/>
                <w:color w:val="auto"/>
                <w:spacing w:val="36"/>
                <w:w w:val="101"/>
                <w:sz w:val="30"/>
                <w:szCs w:val="30"/>
              </w:rPr>
              <w:t xml:space="preserve"> </w:t>
            </w:r>
            <w:r>
              <w:rPr>
                <w:rFonts w:ascii="仿宋" w:hAnsi="仿宋" w:eastAsia="仿宋" w:cs="仿宋"/>
                <w:color w:val="auto"/>
                <w:spacing w:val="-4"/>
                <w:sz w:val="30"/>
                <w:szCs w:val="30"/>
              </w:rPr>
              <w:t>万</w:t>
            </w:r>
            <w:r>
              <w:rPr>
                <w:rFonts w:ascii="仿宋" w:hAnsi="仿宋" w:eastAsia="仿宋" w:cs="仿宋"/>
                <w:color w:val="auto"/>
                <w:spacing w:val="-58"/>
                <w:sz w:val="30"/>
                <w:szCs w:val="30"/>
              </w:rPr>
              <w:t xml:space="preserve"> </w:t>
            </w:r>
            <w:r>
              <w:rPr>
                <w:rFonts w:ascii="Times New Roman" w:hAnsi="Times New Roman" w:eastAsia="Times New Roman" w:cs="Times New Roman"/>
                <w:color w:val="auto"/>
                <w:spacing w:val="-4"/>
                <w:sz w:val="30"/>
                <w:szCs w:val="30"/>
              </w:rPr>
              <w:t>m</w:t>
            </w:r>
            <w:r>
              <w:rPr>
                <w:rFonts w:ascii="Times New Roman" w:hAnsi="Times New Roman" w:eastAsia="Times New Roman" w:cs="Times New Roman"/>
                <w:color w:val="auto"/>
                <w:spacing w:val="-4"/>
                <w:position w:val="13"/>
                <w:sz w:val="19"/>
                <w:szCs w:val="19"/>
              </w:rPr>
              <w:t>3</w:t>
            </w:r>
            <w:r>
              <w:rPr>
                <w:rFonts w:ascii="Times New Roman" w:hAnsi="Times New Roman" w:eastAsia="Times New Roman" w:cs="Times New Roman"/>
                <w:color w:val="auto"/>
                <w:spacing w:val="-6"/>
                <w:position w:val="13"/>
                <w:sz w:val="19"/>
                <w:szCs w:val="19"/>
              </w:rPr>
              <w:t xml:space="preserve"> </w:t>
            </w:r>
            <w:r>
              <w:rPr>
                <w:rFonts w:ascii="仿宋" w:hAnsi="仿宋" w:eastAsia="仿宋" w:cs="仿宋"/>
                <w:color w:val="auto"/>
                <w:spacing w:val="-4"/>
                <w:sz w:val="30"/>
                <w:szCs w:val="30"/>
              </w:rPr>
              <w:t>，比方</w:t>
            </w:r>
          </w:p>
        </w:tc>
      </w:tr>
    </w:tbl>
    <w:p>
      <w:pPr>
        <w:sectPr>
          <w:pgSz w:w="11905" w:h="16840"/>
          <w:pgMar w:top="1440" w:right="1440" w:bottom="1440" w:left="1440" w:header="0" w:footer="0" w:gutter="0"/>
          <w:cols w:space="720" w:num="1"/>
        </w:sectPr>
      </w:pPr>
    </w:p>
    <w:p>
      <w:pPr>
        <w:spacing w:line="89" w:lineRule="auto"/>
        <w:rPr>
          <w:rFonts w:ascii="Arial"/>
          <w:sz w:val="2"/>
        </w:rPr>
      </w:pPr>
    </w:p>
    <w:tbl>
      <w:tblPr>
        <w:tblStyle w:val="29"/>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3570" w:hRule="atLeast"/>
        </w:trPr>
        <w:tc>
          <w:tcPr>
            <w:tcW w:w="8842" w:type="dxa"/>
            <w:vAlign w:val="top"/>
          </w:tcPr>
          <w:p>
            <w:pPr>
              <w:spacing w:before="156" w:line="381" w:lineRule="auto"/>
              <w:ind w:left="127" w:right="155" w:firstLine="1"/>
              <w:rPr>
                <w:rFonts w:ascii="仿宋" w:hAnsi="仿宋" w:eastAsia="仿宋" w:cs="仿宋"/>
                <w:sz w:val="30"/>
                <w:szCs w:val="30"/>
              </w:rPr>
            </w:pPr>
            <w:r>
              <w:rPr>
                <w:rFonts w:ascii="仿宋" w:hAnsi="仿宋" w:eastAsia="仿宋" w:cs="仿宋"/>
                <w:spacing w:val="-8"/>
                <w:sz w:val="30"/>
                <w:szCs w:val="30"/>
              </w:rPr>
              <w:t>案报告书增加</w:t>
            </w:r>
            <w:r>
              <w:rPr>
                <w:rFonts w:ascii="仿宋" w:hAnsi="仿宋" w:eastAsia="仿宋" w:cs="仿宋"/>
                <w:spacing w:val="-49"/>
                <w:sz w:val="30"/>
                <w:szCs w:val="30"/>
              </w:rPr>
              <w:t xml:space="preserve"> </w:t>
            </w:r>
            <w:r>
              <w:rPr>
                <w:rFonts w:ascii="Times New Roman" w:hAnsi="Times New Roman" w:eastAsia="Times New Roman" w:cs="Times New Roman"/>
                <w:spacing w:val="-8"/>
                <w:sz w:val="30"/>
                <w:szCs w:val="30"/>
              </w:rPr>
              <w:t>0</w:t>
            </w:r>
            <w:r>
              <w:rPr>
                <w:rFonts w:ascii="Times New Roman" w:hAnsi="Times New Roman" w:eastAsia="Times New Roman" w:cs="Times New Roman"/>
                <w:spacing w:val="24"/>
                <w:sz w:val="30"/>
                <w:szCs w:val="30"/>
              </w:rPr>
              <w:t xml:space="preserve"> </w:t>
            </w:r>
            <w:r>
              <w:rPr>
                <w:rFonts w:ascii="仿宋" w:hAnsi="仿宋" w:eastAsia="仿宋" w:cs="仿宋"/>
                <w:spacing w:val="-8"/>
                <w:sz w:val="30"/>
                <w:szCs w:val="30"/>
              </w:rPr>
              <w:t>万</w:t>
            </w:r>
            <w:r>
              <w:rPr>
                <w:rFonts w:ascii="仿宋" w:hAnsi="仿宋" w:eastAsia="仿宋" w:cs="仿宋"/>
                <w:spacing w:val="-70"/>
                <w:sz w:val="30"/>
                <w:szCs w:val="30"/>
              </w:rPr>
              <w:t xml:space="preserve"> </w:t>
            </w:r>
            <w:r>
              <w:rPr>
                <w:rFonts w:ascii="Times New Roman" w:hAnsi="Times New Roman" w:eastAsia="Times New Roman" w:cs="Times New Roman"/>
                <w:spacing w:val="-8"/>
                <w:sz w:val="30"/>
                <w:szCs w:val="30"/>
              </w:rPr>
              <w:t>m</w:t>
            </w:r>
            <w:r>
              <w:rPr>
                <w:rFonts w:ascii="Times New Roman" w:hAnsi="Times New Roman" w:eastAsia="Times New Roman" w:cs="Times New Roman"/>
                <w:spacing w:val="-8"/>
                <w:position w:val="13"/>
                <w:sz w:val="19"/>
                <w:szCs w:val="19"/>
              </w:rPr>
              <w:t>3</w:t>
            </w:r>
            <w:r>
              <w:rPr>
                <w:rFonts w:ascii="Times New Roman" w:hAnsi="Times New Roman" w:eastAsia="Times New Roman" w:cs="Times New Roman"/>
                <w:spacing w:val="-6"/>
                <w:position w:val="13"/>
                <w:sz w:val="19"/>
                <w:szCs w:val="19"/>
              </w:rPr>
              <w:t xml:space="preserve"> </w:t>
            </w:r>
            <w:r>
              <w:rPr>
                <w:rFonts w:ascii="仿宋" w:hAnsi="仿宋" w:eastAsia="仿宋" w:cs="仿宋"/>
                <w:spacing w:val="-8"/>
                <w:sz w:val="30"/>
                <w:szCs w:val="30"/>
              </w:rPr>
              <w:t>；表土回填总量</w:t>
            </w:r>
            <w:r>
              <w:rPr>
                <w:rFonts w:ascii="仿宋" w:hAnsi="仿宋" w:eastAsia="仿宋" w:cs="仿宋"/>
                <w:spacing w:val="-34"/>
                <w:sz w:val="30"/>
                <w:szCs w:val="30"/>
              </w:rPr>
              <w:t xml:space="preserve"> </w:t>
            </w:r>
            <w:r>
              <w:rPr>
                <w:rFonts w:ascii="Times New Roman" w:hAnsi="Times New Roman" w:eastAsia="Times New Roman" w:cs="Times New Roman"/>
                <w:spacing w:val="-8"/>
                <w:sz w:val="30"/>
                <w:szCs w:val="30"/>
              </w:rPr>
              <w:t>0.</w:t>
            </w:r>
            <w:r>
              <w:rPr>
                <w:rFonts w:hint="eastAsia" w:ascii="Times New Roman" w:hAnsi="Times New Roman" w:eastAsia="宋体" w:cs="Times New Roman"/>
                <w:spacing w:val="-8"/>
                <w:sz w:val="30"/>
                <w:szCs w:val="30"/>
                <w:lang w:val="en-US" w:eastAsia="zh-CN"/>
              </w:rPr>
              <w:t>74</w:t>
            </w:r>
            <w:r>
              <w:rPr>
                <w:rFonts w:ascii="Times New Roman" w:hAnsi="Times New Roman" w:eastAsia="Times New Roman" w:cs="Times New Roman"/>
                <w:spacing w:val="26"/>
                <w:sz w:val="30"/>
                <w:szCs w:val="30"/>
              </w:rPr>
              <w:t xml:space="preserve"> </w:t>
            </w:r>
            <w:r>
              <w:rPr>
                <w:rFonts w:ascii="仿宋" w:hAnsi="仿宋" w:eastAsia="仿宋" w:cs="仿宋"/>
                <w:spacing w:val="-8"/>
                <w:sz w:val="30"/>
                <w:szCs w:val="30"/>
              </w:rPr>
              <w:t>万</w:t>
            </w:r>
            <w:r>
              <w:rPr>
                <w:rFonts w:ascii="仿宋" w:hAnsi="仿宋" w:eastAsia="仿宋" w:cs="仿宋"/>
                <w:spacing w:val="-70"/>
                <w:sz w:val="30"/>
                <w:szCs w:val="30"/>
              </w:rPr>
              <w:t xml:space="preserve"> </w:t>
            </w:r>
            <w:r>
              <w:rPr>
                <w:rFonts w:ascii="Times New Roman" w:hAnsi="Times New Roman" w:eastAsia="Times New Roman" w:cs="Times New Roman"/>
                <w:spacing w:val="-8"/>
                <w:sz w:val="30"/>
                <w:szCs w:val="30"/>
              </w:rPr>
              <w:t>m</w:t>
            </w:r>
            <w:r>
              <w:rPr>
                <w:rFonts w:ascii="Times New Roman" w:hAnsi="Times New Roman" w:eastAsia="Times New Roman" w:cs="Times New Roman"/>
                <w:spacing w:val="-8"/>
                <w:position w:val="13"/>
                <w:sz w:val="19"/>
                <w:szCs w:val="19"/>
              </w:rPr>
              <w:t>3</w:t>
            </w:r>
            <w:r>
              <w:rPr>
                <w:rFonts w:ascii="Times New Roman" w:hAnsi="Times New Roman" w:eastAsia="Times New Roman" w:cs="Times New Roman"/>
                <w:spacing w:val="-6"/>
                <w:position w:val="13"/>
                <w:sz w:val="19"/>
                <w:szCs w:val="19"/>
              </w:rPr>
              <w:t xml:space="preserve"> </w:t>
            </w:r>
            <w:r>
              <w:rPr>
                <w:rFonts w:ascii="仿宋" w:hAnsi="仿宋" w:eastAsia="仿宋" w:cs="仿宋"/>
                <w:spacing w:val="-8"/>
                <w:sz w:val="30"/>
                <w:szCs w:val="30"/>
              </w:rPr>
              <w:t>，比方案报告书</w:t>
            </w:r>
            <w:r>
              <w:rPr>
                <w:rFonts w:ascii="仿宋" w:hAnsi="仿宋" w:eastAsia="仿宋" w:cs="仿宋"/>
                <w:sz w:val="30"/>
                <w:szCs w:val="30"/>
              </w:rPr>
              <w:t xml:space="preserve"> </w:t>
            </w:r>
            <w:r>
              <w:rPr>
                <w:rFonts w:ascii="仿宋" w:hAnsi="仿宋" w:eastAsia="仿宋" w:cs="仿宋"/>
                <w:spacing w:val="-7"/>
                <w:sz w:val="30"/>
                <w:szCs w:val="30"/>
              </w:rPr>
              <w:t>增加</w:t>
            </w:r>
            <w:r>
              <w:rPr>
                <w:rFonts w:ascii="仿宋" w:hAnsi="仿宋" w:eastAsia="仿宋" w:cs="仿宋"/>
                <w:spacing w:val="-58"/>
                <w:sz w:val="30"/>
                <w:szCs w:val="30"/>
              </w:rPr>
              <w:t xml:space="preserve"> </w:t>
            </w:r>
            <w:r>
              <w:rPr>
                <w:rFonts w:ascii="Times New Roman" w:hAnsi="Times New Roman" w:eastAsia="Times New Roman" w:cs="Times New Roman"/>
                <w:spacing w:val="-7"/>
                <w:sz w:val="30"/>
                <w:szCs w:val="30"/>
              </w:rPr>
              <w:t>0</w:t>
            </w:r>
            <w:r>
              <w:rPr>
                <w:rFonts w:ascii="Times New Roman" w:hAnsi="Times New Roman" w:eastAsia="Times New Roman" w:cs="Times New Roman"/>
                <w:spacing w:val="22"/>
                <w:sz w:val="30"/>
                <w:szCs w:val="30"/>
              </w:rPr>
              <w:t xml:space="preserve"> </w:t>
            </w:r>
            <w:r>
              <w:rPr>
                <w:rFonts w:ascii="仿宋" w:hAnsi="仿宋" w:eastAsia="仿宋" w:cs="仿宋"/>
                <w:spacing w:val="-7"/>
                <w:sz w:val="30"/>
                <w:szCs w:val="30"/>
              </w:rPr>
              <w:t>万</w:t>
            </w:r>
            <w:r>
              <w:rPr>
                <w:rFonts w:ascii="仿宋" w:hAnsi="仿宋" w:eastAsia="仿宋" w:cs="仿宋"/>
                <w:spacing w:val="-73"/>
                <w:sz w:val="30"/>
                <w:szCs w:val="30"/>
              </w:rPr>
              <w:t xml:space="preserve"> </w:t>
            </w:r>
            <w:r>
              <w:rPr>
                <w:rFonts w:ascii="Times New Roman" w:hAnsi="Times New Roman" w:eastAsia="Times New Roman" w:cs="Times New Roman"/>
                <w:spacing w:val="-7"/>
                <w:sz w:val="30"/>
                <w:szCs w:val="30"/>
              </w:rPr>
              <w:t>m</w:t>
            </w:r>
            <w:r>
              <w:rPr>
                <w:rFonts w:ascii="Times New Roman" w:hAnsi="Times New Roman" w:eastAsia="Times New Roman" w:cs="Times New Roman"/>
                <w:spacing w:val="-7"/>
                <w:position w:val="13"/>
                <w:sz w:val="19"/>
                <w:szCs w:val="19"/>
              </w:rPr>
              <w:t>3</w:t>
            </w:r>
            <w:r>
              <w:rPr>
                <w:rFonts w:ascii="仿宋" w:hAnsi="仿宋" w:eastAsia="仿宋" w:cs="仿宋"/>
                <w:spacing w:val="-7"/>
                <w:sz w:val="30"/>
                <w:szCs w:val="30"/>
              </w:rPr>
              <w:t>。</w:t>
            </w:r>
          </w:p>
          <w:p>
            <w:pPr>
              <w:spacing w:before="13" w:line="360" w:lineRule="auto"/>
              <w:ind w:left="120" w:right="6" w:firstLine="599"/>
              <w:rPr>
                <w:rFonts w:ascii="仿宋" w:hAnsi="仿宋" w:eastAsia="仿宋" w:cs="仿宋"/>
                <w:sz w:val="30"/>
                <w:szCs w:val="30"/>
              </w:rPr>
            </w:pPr>
            <w:r>
              <w:rPr>
                <w:rFonts w:ascii="Times New Roman" w:hAnsi="Times New Roman" w:eastAsia="Times New Roman" w:cs="Times New Roman"/>
                <w:spacing w:val="-1"/>
                <w:sz w:val="30"/>
                <w:szCs w:val="30"/>
              </w:rPr>
              <w:t>3</w:t>
            </w:r>
            <w:r>
              <w:rPr>
                <w:rFonts w:ascii="仿宋" w:hAnsi="仿宋" w:eastAsia="仿宋" w:cs="仿宋"/>
                <w:spacing w:val="-1"/>
                <w:sz w:val="30"/>
                <w:szCs w:val="30"/>
              </w:rPr>
              <w:t>、工程建设中，基本完成了水土保持方案确定的各项措施，</w:t>
            </w:r>
            <w:r>
              <w:rPr>
                <w:rFonts w:ascii="仿宋" w:hAnsi="仿宋" w:eastAsia="仿宋" w:cs="仿宋"/>
                <w:spacing w:val="10"/>
                <w:w w:val="101"/>
                <w:sz w:val="30"/>
                <w:szCs w:val="30"/>
              </w:rPr>
              <w:t xml:space="preserve">  </w:t>
            </w:r>
            <w:r>
              <w:rPr>
                <w:rFonts w:ascii="仿宋" w:hAnsi="仿宋" w:eastAsia="仿宋" w:cs="仿宋"/>
                <w:spacing w:val="-4"/>
                <w:sz w:val="30"/>
                <w:szCs w:val="30"/>
              </w:rPr>
              <w:t>主要有：</w:t>
            </w:r>
            <w:r>
              <w:rPr>
                <w:rFonts w:hint="eastAsia" w:ascii="仿宋" w:hAnsi="仿宋" w:eastAsia="仿宋" w:cs="仿宋"/>
                <w:spacing w:val="-4"/>
                <w:sz w:val="30"/>
                <w:szCs w:val="30"/>
                <w:lang w:val="en-US" w:eastAsia="zh-CN"/>
              </w:rPr>
              <w:t>挡渣墙</w:t>
            </w:r>
            <w:r>
              <w:rPr>
                <w:rFonts w:hint="default" w:ascii="Times New Roman" w:hAnsi="Times New Roman" w:eastAsia="仿宋" w:cs="Times New Roman"/>
                <w:spacing w:val="-4"/>
                <w:sz w:val="30"/>
                <w:szCs w:val="30"/>
                <w:lang w:val="en-US" w:eastAsia="zh-CN"/>
              </w:rPr>
              <w:t>91.65m</w:t>
            </w:r>
            <w:r>
              <w:rPr>
                <w:rFonts w:hint="eastAsia" w:ascii="Times New Roman" w:hAnsi="Times New Roman" w:eastAsia="仿宋" w:cs="Times New Roman"/>
                <w:spacing w:val="-4"/>
                <w:sz w:val="30"/>
                <w:szCs w:val="30"/>
                <w:lang w:val="en-US" w:eastAsia="zh-CN"/>
              </w:rPr>
              <w:t>、截水沟305.48m、排水沟2389.13m、永久沉砂池</w:t>
            </w:r>
            <w:r>
              <w:rPr>
                <w:rFonts w:hint="default" w:ascii="Times New Roman" w:hAnsi="Times New Roman" w:eastAsia="仿宋" w:cs="Times New Roman"/>
                <w:spacing w:val="-4"/>
                <w:sz w:val="30"/>
                <w:szCs w:val="30"/>
                <w:lang w:val="en-US" w:eastAsia="zh-CN"/>
              </w:rPr>
              <w:t>5</w:t>
            </w:r>
            <w:r>
              <w:rPr>
                <w:rFonts w:hint="eastAsia" w:ascii="Times New Roman" w:hAnsi="Times New Roman" w:eastAsia="仿宋" w:cs="Times New Roman"/>
                <w:spacing w:val="-4"/>
                <w:sz w:val="30"/>
                <w:szCs w:val="30"/>
                <w:lang w:val="en-US" w:eastAsia="zh-CN"/>
              </w:rPr>
              <w:t>个</w:t>
            </w:r>
            <w:r>
              <w:rPr>
                <w:rFonts w:ascii="仿宋" w:hAnsi="仿宋" w:eastAsia="仿宋" w:cs="仿宋"/>
                <w:spacing w:val="-7"/>
                <w:sz w:val="30"/>
                <w:szCs w:val="30"/>
              </w:rPr>
              <w:t>、</w:t>
            </w:r>
            <w:r>
              <w:rPr>
                <w:rFonts w:hint="eastAsia" w:ascii="仿宋" w:hAnsi="仿宋" w:eastAsia="仿宋" w:cs="仿宋"/>
                <w:spacing w:val="-7"/>
                <w:sz w:val="30"/>
                <w:szCs w:val="30"/>
                <w:lang w:val="en-US" w:eastAsia="zh-CN"/>
              </w:rPr>
              <w:t>表土剥离</w:t>
            </w:r>
            <w:r>
              <w:rPr>
                <w:rFonts w:hint="default" w:ascii="Times New Roman" w:hAnsi="Times New Roman" w:eastAsia="仿宋" w:cs="Times New Roman"/>
                <w:spacing w:val="-7"/>
                <w:sz w:val="30"/>
                <w:szCs w:val="30"/>
                <w:lang w:val="en-US" w:eastAsia="zh-CN"/>
              </w:rPr>
              <w:t>26319.7</w:t>
            </w:r>
            <w:r>
              <w:rPr>
                <w:rFonts w:hint="eastAsia" w:ascii="Times New Roman" w:hAnsi="Times New Roman" w:eastAsia="仿宋" w:cs="Times New Roman"/>
                <w:spacing w:val="-7"/>
                <w:sz w:val="30"/>
                <w:szCs w:val="30"/>
                <w:lang w:val="en-US" w:eastAsia="zh-CN"/>
              </w:rPr>
              <w:t>m³、土地平整3.3</w:t>
            </w:r>
            <w:r>
              <w:rPr>
                <w:rFonts w:ascii="Times New Roman" w:hAnsi="Times New Roman" w:eastAsia="Times New Roman" w:cs="Times New Roman"/>
                <w:spacing w:val="-7"/>
                <w:sz w:val="30"/>
                <w:szCs w:val="30"/>
              </w:rPr>
              <w:t>hm</w:t>
            </w:r>
            <w:r>
              <w:rPr>
                <w:rFonts w:ascii="Times New Roman" w:hAnsi="Times New Roman" w:eastAsia="Times New Roman" w:cs="Times New Roman"/>
                <w:spacing w:val="-7"/>
                <w:position w:val="13"/>
                <w:sz w:val="19"/>
                <w:szCs w:val="19"/>
              </w:rPr>
              <w:t>2</w:t>
            </w:r>
            <w:r>
              <w:rPr>
                <w:rFonts w:ascii="Times New Roman" w:hAnsi="Times New Roman" w:eastAsia="Times New Roman" w:cs="Times New Roman"/>
                <w:spacing w:val="-5"/>
                <w:position w:val="13"/>
                <w:sz w:val="19"/>
                <w:szCs w:val="19"/>
              </w:rPr>
              <w:t xml:space="preserve"> </w:t>
            </w:r>
            <w:r>
              <w:rPr>
                <w:rFonts w:ascii="仿宋" w:hAnsi="仿宋" w:eastAsia="仿宋" w:cs="仿宋"/>
                <w:spacing w:val="-7"/>
                <w:sz w:val="30"/>
                <w:szCs w:val="30"/>
              </w:rPr>
              <w:t>、</w:t>
            </w:r>
            <w:r>
              <w:rPr>
                <w:rFonts w:hint="eastAsia" w:ascii="仿宋" w:hAnsi="仿宋" w:eastAsia="仿宋" w:cs="仿宋"/>
                <w:spacing w:val="-7"/>
                <w:sz w:val="30"/>
                <w:szCs w:val="30"/>
                <w:lang w:val="en-US" w:eastAsia="zh-CN"/>
              </w:rPr>
              <w:t>浆砌石</w:t>
            </w:r>
            <w:r>
              <w:rPr>
                <w:rFonts w:hint="default" w:ascii="Times New Roman" w:hAnsi="Times New Roman" w:eastAsia="仿宋" w:cs="Times New Roman"/>
                <w:spacing w:val="-7"/>
                <w:sz w:val="30"/>
                <w:szCs w:val="30"/>
                <w:lang w:val="en-US" w:eastAsia="zh-CN"/>
              </w:rPr>
              <w:t>681.85m³</w:t>
            </w:r>
            <w:r>
              <w:rPr>
                <w:rFonts w:hint="eastAsia" w:ascii="Times New Roman" w:hAnsi="Times New Roman" w:eastAsia="仿宋" w:cs="Times New Roman"/>
                <w:spacing w:val="-7"/>
                <w:sz w:val="30"/>
                <w:szCs w:val="30"/>
                <w:lang w:val="en-US" w:eastAsia="zh-CN"/>
              </w:rPr>
              <w:t>、土方开挖791.92m³、土方回填40.59m³、砂石垫层56.82m³、临时挡土坎3861.13m、临时排水沟3054.41m、临时沉砂池</w:t>
            </w:r>
            <w:r>
              <w:rPr>
                <w:rFonts w:hint="default" w:ascii="Times New Roman" w:hAnsi="Times New Roman" w:eastAsia="仿宋" w:cs="Times New Roman"/>
                <w:spacing w:val="-7"/>
                <w:sz w:val="30"/>
                <w:szCs w:val="30"/>
                <w:lang w:val="en-US" w:eastAsia="zh-CN"/>
              </w:rPr>
              <w:t>37</w:t>
            </w:r>
            <w:r>
              <w:rPr>
                <w:rFonts w:hint="eastAsia" w:ascii="Times New Roman" w:hAnsi="Times New Roman" w:eastAsia="仿宋" w:cs="Times New Roman"/>
                <w:spacing w:val="-7"/>
                <w:sz w:val="30"/>
                <w:szCs w:val="30"/>
                <w:lang w:val="en-US" w:eastAsia="zh-CN"/>
              </w:rPr>
              <w:t>个、防尘网覆盖4689.93㎡、挡土板88块、袋装土2584.89m³、铺撒碎石子143m³、铺草皮</w:t>
            </w:r>
            <w:r>
              <w:rPr>
                <w:rFonts w:hint="default" w:ascii="Times New Roman" w:hAnsi="Times New Roman" w:eastAsia="仿宋" w:cs="Times New Roman"/>
                <w:spacing w:val="-7"/>
                <w:sz w:val="30"/>
                <w:szCs w:val="30"/>
                <w:lang w:val="en-US" w:eastAsia="zh-CN"/>
              </w:rPr>
              <w:t>5780㎡</w:t>
            </w:r>
            <w:r>
              <w:rPr>
                <w:rFonts w:hint="eastAsia" w:ascii="Times New Roman" w:hAnsi="Times New Roman" w:eastAsia="仿宋" w:cs="Times New Roman"/>
                <w:spacing w:val="-7"/>
                <w:sz w:val="30"/>
                <w:szCs w:val="30"/>
                <w:lang w:val="en-US" w:eastAsia="zh-CN"/>
              </w:rPr>
              <w:t>、撒草籽83kg、植树香樟1228株、杜英1912株、红继木9717株</w:t>
            </w:r>
            <w:r>
              <w:rPr>
                <w:rFonts w:ascii="仿宋" w:hAnsi="仿宋" w:eastAsia="仿宋" w:cs="仿宋"/>
                <w:spacing w:val="-6"/>
                <w:sz w:val="30"/>
                <w:szCs w:val="30"/>
              </w:rPr>
              <w:t>。</w:t>
            </w:r>
          </w:p>
          <w:p>
            <w:pPr>
              <w:spacing w:before="9" w:line="360" w:lineRule="auto"/>
              <w:ind w:left="129" w:right="107" w:firstLine="582"/>
              <w:rPr>
                <w:rFonts w:ascii="仿宋" w:hAnsi="仿宋" w:eastAsia="仿宋" w:cs="仿宋"/>
                <w:sz w:val="30"/>
                <w:szCs w:val="30"/>
              </w:rPr>
            </w:pPr>
            <w:r>
              <w:rPr>
                <w:rFonts w:ascii="Times New Roman" w:hAnsi="Times New Roman" w:eastAsia="Times New Roman" w:cs="Times New Roman"/>
                <w:spacing w:val="-4"/>
                <w:sz w:val="30"/>
                <w:szCs w:val="30"/>
              </w:rPr>
              <w:t>4</w:t>
            </w:r>
            <w:r>
              <w:rPr>
                <w:rFonts w:ascii="仿宋" w:hAnsi="仿宋" w:eastAsia="仿宋" w:cs="仿宋"/>
                <w:spacing w:val="-4"/>
                <w:sz w:val="30"/>
                <w:szCs w:val="30"/>
              </w:rPr>
              <w:t>、水土保持实际完成投资</w:t>
            </w:r>
            <w:r>
              <w:rPr>
                <w:rFonts w:ascii="仿宋" w:hAnsi="仿宋" w:eastAsia="仿宋" w:cs="仿宋"/>
                <w:spacing w:val="-7"/>
                <w:sz w:val="30"/>
                <w:szCs w:val="30"/>
              </w:rPr>
              <w:t xml:space="preserve"> </w:t>
            </w:r>
            <w:r>
              <w:rPr>
                <w:rFonts w:hint="default" w:ascii="Times New Roman" w:hAnsi="Times New Roman" w:eastAsia="仿宋" w:cs="Times New Roman"/>
                <w:spacing w:val="-7"/>
                <w:sz w:val="30"/>
                <w:szCs w:val="30"/>
                <w:lang w:val="en-US" w:eastAsia="zh-CN"/>
              </w:rPr>
              <w:t>181.27</w:t>
            </w:r>
            <w:r>
              <w:rPr>
                <w:rFonts w:hint="default" w:ascii="Times New Roman" w:hAnsi="Times New Roman" w:eastAsia="Times New Roman" w:cs="Times New Roman"/>
                <w:spacing w:val="21"/>
                <w:w w:val="101"/>
                <w:sz w:val="30"/>
                <w:szCs w:val="30"/>
              </w:rPr>
              <w:t xml:space="preserve"> </w:t>
            </w:r>
            <w:r>
              <w:rPr>
                <w:rFonts w:ascii="仿宋" w:hAnsi="仿宋" w:eastAsia="仿宋" w:cs="仿宋"/>
                <w:spacing w:val="-4"/>
                <w:sz w:val="30"/>
                <w:szCs w:val="30"/>
              </w:rPr>
              <w:t>万元，其中工程措施</w:t>
            </w:r>
            <w:r>
              <w:rPr>
                <w:rFonts w:ascii="仿宋" w:hAnsi="仿宋" w:eastAsia="仿宋" w:cs="仿宋"/>
                <w:spacing w:val="-41"/>
                <w:sz w:val="30"/>
                <w:szCs w:val="30"/>
              </w:rPr>
              <w:t xml:space="preserve"> </w:t>
            </w:r>
            <w:r>
              <w:rPr>
                <w:rFonts w:hint="eastAsia" w:ascii="Times New Roman" w:hAnsi="Times New Roman" w:eastAsia="宋体" w:cs="Times New Roman"/>
                <w:spacing w:val="-4"/>
                <w:sz w:val="30"/>
                <w:szCs w:val="30"/>
                <w:lang w:val="en-US" w:eastAsia="zh-CN"/>
              </w:rPr>
              <w:t>4</w:t>
            </w:r>
            <w:r>
              <w:rPr>
                <w:rFonts w:ascii="Times New Roman" w:hAnsi="Times New Roman" w:eastAsia="Times New Roman" w:cs="Times New Roman"/>
                <w:spacing w:val="-4"/>
                <w:sz w:val="30"/>
                <w:szCs w:val="30"/>
              </w:rPr>
              <w:t>8</w:t>
            </w:r>
            <w:r>
              <w:rPr>
                <w:rFonts w:hint="eastAsia" w:ascii="Times New Roman" w:hAnsi="Times New Roman" w:eastAsia="宋体" w:cs="Times New Roman"/>
                <w:spacing w:val="-4"/>
                <w:sz w:val="30"/>
                <w:szCs w:val="30"/>
                <w:lang w:val="en-US" w:eastAsia="zh-CN"/>
              </w:rPr>
              <w:t>.27</w:t>
            </w:r>
            <w:r>
              <w:rPr>
                <w:rFonts w:ascii="Times New Roman" w:hAnsi="Times New Roman" w:eastAsia="Times New Roman" w:cs="Times New Roman"/>
                <w:sz w:val="30"/>
                <w:szCs w:val="30"/>
              </w:rPr>
              <w:t xml:space="preserve"> </w:t>
            </w:r>
            <w:r>
              <w:rPr>
                <w:rFonts w:ascii="仿宋" w:hAnsi="仿宋" w:eastAsia="仿宋" w:cs="仿宋"/>
                <w:spacing w:val="-4"/>
                <w:sz w:val="30"/>
                <w:szCs w:val="30"/>
              </w:rPr>
              <w:t>万元，植物措施</w:t>
            </w:r>
            <w:r>
              <w:rPr>
                <w:rFonts w:ascii="仿宋" w:hAnsi="仿宋" w:eastAsia="仿宋" w:cs="仿宋"/>
                <w:spacing w:val="-15"/>
                <w:sz w:val="30"/>
                <w:szCs w:val="30"/>
              </w:rPr>
              <w:t xml:space="preserve"> </w:t>
            </w:r>
            <w:r>
              <w:rPr>
                <w:rFonts w:ascii="Times New Roman" w:hAnsi="Times New Roman" w:eastAsia="Times New Roman" w:cs="Times New Roman"/>
                <w:spacing w:val="-4"/>
                <w:sz w:val="30"/>
                <w:szCs w:val="30"/>
              </w:rPr>
              <w:t>5</w:t>
            </w:r>
            <w:r>
              <w:rPr>
                <w:rFonts w:hint="eastAsia" w:ascii="Times New Roman" w:hAnsi="Times New Roman" w:eastAsia="宋体" w:cs="Times New Roman"/>
                <w:spacing w:val="-4"/>
                <w:sz w:val="30"/>
                <w:szCs w:val="30"/>
                <w:lang w:val="en-US" w:eastAsia="zh-CN"/>
              </w:rPr>
              <w:t>8.8</w:t>
            </w:r>
            <w:r>
              <w:rPr>
                <w:rFonts w:ascii="Times New Roman" w:hAnsi="Times New Roman" w:eastAsia="Times New Roman" w:cs="Times New Roman"/>
                <w:spacing w:val="36"/>
                <w:sz w:val="30"/>
                <w:szCs w:val="30"/>
              </w:rPr>
              <w:t xml:space="preserve"> </w:t>
            </w:r>
            <w:r>
              <w:rPr>
                <w:rFonts w:ascii="仿宋" w:hAnsi="仿宋" w:eastAsia="仿宋" w:cs="仿宋"/>
                <w:spacing w:val="-4"/>
                <w:sz w:val="30"/>
                <w:szCs w:val="30"/>
              </w:rPr>
              <w:t>万元，临时措施</w:t>
            </w:r>
            <w:r>
              <w:rPr>
                <w:rFonts w:ascii="仿宋" w:hAnsi="仿宋" w:eastAsia="仿宋" w:cs="仿宋"/>
                <w:spacing w:val="-47"/>
                <w:sz w:val="30"/>
                <w:szCs w:val="30"/>
              </w:rPr>
              <w:t xml:space="preserve"> </w:t>
            </w:r>
            <w:r>
              <w:rPr>
                <w:rFonts w:ascii="Times New Roman" w:hAnsi="Times New Roman" w:eastAsia="Times New Roman" w:cs="Times New Roman"/>
                <w:spacing w:val="-4"/>
                <w:sz w:val="30"/>
                <w:szCs w:val="30"/>
              </w:rPr>
              <w:t>5</w:t>
            </w:r>
            <w:r>
              <w:rPr>
                <w:rFonts w:hint="eastAsia" w:ascii="Times New Roman" w:hAnsi="Times New Roman" w:eastAsia="宋体" w:cs="Times New Roman"/>
                <w:spacing w:val="-4"/>
                <w:sz w:val="30"/>
                <w:szCs w:val="30"/>
                <w:lang w:val="en-US" w:eastAsia="zh-CN"/>
              </w:rPr>
              <w:t>0</w:t>
            </w:r>
            <w:r>
              <w:rPr>
                <w:rFonts w:ascii="Times New Roman" w:hAnsi="Times New Roman" w:eastAsia="Times New Roman" w:cs="Times New Roman"/>
                <w:spacing w:val="-4"/>
                <w:sz w:val="30"/>
                <w:szCs w:val="30"/>
              </w:rPr>
              <w:t>.</w:t>
            </w:r>
            <w:r>
              <w:rPr>
                <w:rFonts w:hint="eastAsia" w:ascii="Times New Roman" w:hAnsi="Times New Roman" w:eastAsia="宋体" w:cs="Times New Roman"/>
                <w:spacing w:val="-4"/>
                <w:sz w:val="30"/>
                <w:szCs w:val="30"/>
                <w:lang w:val="en-US" w:eastAsia="zh-CN"/>
              </w:rPr>
              <w:t>4</w:t>
            </w:r>
            <w:r>
              <w:rPr>
                <w:rFonts w:ascii="Times New Roman" w:hAnsi="Times New Roman" w:eastAsia="Times New Roman" w:cs="Times New Roman"/>
                <w:spacing w:val="-4"/>
                <w:sz w:val="30"/>
                <w:szCs w:val="30"/>
              </w:rPr>
              <w:t>4</w:t>
            </w:r>
            <w:r>
              <w:rPr>
                <w:rFonts w:ascii="Times New Roman" w:hAnsi="Times New Roman" w:eastAsia="Times New Roman" w:cs="Times New Roman"/>
                <w:spacing w:val="36"/>
                <w:sz w:val="30"/>
                <w:szCs w:val="30"/>
              </w:rPr>
              <w:t xml:space="preserve"> </w:t>
            </w:r>
            <w:r>
              <w:rPr>
                <w:rFonts w:ascii="仿宋" w:hAnsi="仿宋" w:eastAsia="仿宋" w:cs="仿宋"/>
                <w:spacing w:val="-4"/>
                <w:sz w:val="30"/>
                <w:szCs w:val="30"/>
              </w:rPr>
              <w:t>万元，独立费</w:t>
            </w:r>
            <w:r>
              <w:rPr>
                <w:rFonts w:hint="eastAsia" w:ascii="Times New Roman" w:hAnsi="Times New Roman" w:eastAsia="宋体" w:cs="Times New Roman"/>
                <w:spacing w:val="-4"/>
                <w:sz w:val="30"/>
                <w:szCs w:val="30"/>
                <w:lang w:val="en-US" w:eastAsia="zh-CN"/>
              </w:rPr>
              <w:t>15.94</w:t>
            </w:r>
            <w:r>
              <w:rPr>
                <w:rFonts w:ascii="仿宋" w:hAnsi="仿宋" w:eastAsia="仿宋" w:cs="仿宋"/>
                <w:spacing w:val="-4"/>
                <w:sz w:val="30"/>
                <w:szCs w:val="30"/>
              </w:rPr>
              <w:t>万元，</w:t>
            </w:r>
            <w:r>
              <w:rPr>
                <w:rFonts w:hint="default" w:ascii="Times New Roman" w:hAnsi="Times New Roman" w:eastAsia="仿宋" w:cs="Times New Roman"/>
                <w:color w:val="auto"/>
                <w:spacing w:val="-4"/>
                <w:sz w:val="30"/>
                <w:szCs w:val="30"/>
                <w:highlight w:val="none"/>
              </w:rPr>
              <w:t>水土保持设施补偿费</w:t>
            </w:r>
            <w:r>
              <w:rPr>
                <w:rFonts w:hint="eastAsia" w:ascii="Times New Roman" w:hAnsi="Times New Roman" w:eastAsia="仿宋" w:cs="Times New Roman"/>
                <w:color w:val="auto"/>
                <w:spacing w:val="-4"/>
                <w:sz w:val="30"/>
                <w:szCs w:val="30"/>
                <w:highlight w:val="none"/>
                <w:lang w:val="en-US" w:eastAsia="zh-CN"/>
              </w:rPr>
              <w:t>按照衡财事务函</w:t>
            </w:r>
            <w:r>
              <w:rPr>
                <w:rFonts w:hint="default" w:ascii="Times New Roman" w:hAnsi="Times New Roman" w:eastAsia="仿宋" w:cs="Times New Roman"/>
                <w:color w:val="auto"/>
                <w:spacing w:val="-4"/>
                <w:sz w:val="30"/>
                <w:szCs w:val="30"/>
                <w:highlight w:val="none"/>
              </w:rPr>
              <w:t xml:space="preserve"> ［</w:t>
            </w:r>
            <w:r>
              <w:rPr>
                <w:rFonts w:hint="eastAsia" w:ascii="Times New Roman" w:hAnsi="Times New Roman" w:eastAsia="仿宋" w:cs="Times New Roman"/>
                <w:color w:val="auto"/>
                <w:spacing w:val="-4"/>
                <w:sz w:val="30"/>
                <w:szCs w:val="30"/>
                <w:highlight w:val="none"/>
                <w:lang w:val="en-US" w:eastAsia="zh-CN"/>
              </w:rPr>
              <w:t>2021</w:t>
            </w:r>
            <w:r>
              <w:rPr>
                <w:rFonts w:hint="default" w:ascii="Times New Roman" w:hAnsi="Times New Roman" w:eastAsia="仿宋" w:cs="Times New Roman"/>
                <w:color w:val="auto"/>
                <w:spacing w:val="-4"/>
                <w:sz w:val="30"/>
                <w:szCs w:val="30"/>
                <w:highlight w:val="none"/>
              </w:rPr>
              <w:t>］</w:t>
            </w:r>
            <w:r>
              <w:rPr>
                <w:rFonts w:hint="eastAsia" w:ascii="Times New Roman" w:hAnsi="Times New Roman" w:eastAsia="仿宋" w:cs="Times New Roman"/>
                <w:color w:val="auto"/>
                <w:spacing w:val="-4"/>
                <w:sz w:val="30"/>
                <w:szCs w:val="30"/>
                <w:highlight w:val="none"/>
                <w:lang w:val="en-US" w:eastAsia="zh-CN"/>
              </w:rPr>
              <w:t>80号文件依法免征</w:t>
            </w:r>
            <w:r>
              <w:rPr>
                <w:rFonts w:ascii="仿宋" w:hAnsi="仿宋" w:eastAsia="仿宋" w:cs="仿宋"/>
                <w:spacing w:val="-4"/>
                <w:sz w:val="30"/>
                <w:szCs w:val="30"/>
              </w:rPr>
              <w:t>。</w:t>
            </w:r>
          </w:p>
          <w:p>
            <w:pPr>
              <w:spacing w:before="291" w:line="384" w:lineRule="auto"/>
              <w:ind w:left="126" w:right="20" w:firstLine="595"/>
              <w:rPr>
                <w:rFonts w:ascii="仿宋" w:hAnsi="仿宋" w:eastAsia="仿宋" w:cs="仿宋"/>
                <w:sz w:val="30"/>
                <w:szCs w:val="30"/>
              </w:rPr>
            </w:pPr>
            <w:r>
              <w:rPr>
                <w:rFonts w:ascii="Times New Roman" w:hAnsi="Times New Roman" w:eastAsia="Times New Roman" w:cs="Times New Roman"/>
                <w:spacing w:val="-1"/>
                <w:sz w:val="30"/>
                <w:szCs w:val="30"/>
              </w:rPr>
              <w:t>5</w:t>
            </w:r>
            <w:r>
              <w:rPr>
                <w:rFonts w:ascii="仿宋" w:hAnsi="仿宋" w:eastAsia="仿宋" w:cs="仿宋"/>
                <w:spacing w:val="-1"/>
                <w:sz w:val="30"/>
                <w:szCs w:val="30"/>
              </w:rPr>
              <w:t>、该项目水土保持措施布局基本合理，各项措施运行良好，</w:t>
            </w:r>
            <w:r>
              <w:rPr>
                <w:rFonts w:ascii="仿宋" w:hAnsi="仿宋" w:eastAsia="仿宋" w:cs="仿宋"/>
                <w:spacing w:val="9"/>
                <w:w w:val="101"/>
                <w:sz w:val="30"/>
                <w:szCs w:val="30"/>
              </w:rPr>
              <w:t xml:space="preserve">  </w:t>
            </w:r>
            <w:r>
              <w:rPr>
                <w:rFonts w:ascii="仿宋" w:hAnsi="仿宋" w:eastAsia="仿宋" w:cs="仿宋"/>
                <w:sz w:val="30"/>
                <w:szCs w:val="30"/>
              </w:rPr>
              <w:t>达到了方案设计的防治要求，其中，扰动土地整治率达</w:t>
            </w:r>
            <w:r>
              <w:rPr>
                <w:rFonts w:ascii="仿宋" w:hAnsi="仿宋" w:eastAsia="仿宋" w:cs="仿宋"/>
                <w:spacing w:val="24"/>
                <w:sz w:val="30"/>
                <w:szCs w:val="30"/>
              </w:rPr>
              <w:t xml:space="preserve"> </w:t>
            </w:r>
            <w:r>
              <w:rPr>
                <w:rFonts w:ascii="Times New Roman" w:hAnsi="Times New Roman" w:eastAsia="Times New Roman" w:cs="Times New Roman"/>
                <w:sz w:val="30"/>
                <w:szCs w:val="30"/>
              </w:rPr>
              <w:t>9</w:t>
            </w:r>
            <w:r>
              <w:rPr>
                <w:rFonts w:hint="eastAsia" w:ascii="Times New Roman" w:hAnsi="Times New Roman" w:eastAsia="宋体" w:cs="Times New Roman"/>
                <w:sz w:val="30"/>
                <w:szCs w:val="30"/>
                <w:lang w:val="en-US" w:eastAsia="zh-CN"/>
              </w:rPr>
              <w:t>9.25</w:t>
            </w:r>
            <w:r>
              <w:rPr>
                <w:rFonts w:ascii="Times New Roman" w:hAnsi="Times New Roman" w:eastAsia="Times New Roman" w:cs="Times New Roman"/>
                <w:sz w:val="30"/>
                <w:szCs w:val="30"/>
              </w:rPr>
              <w:t>%</w:t>
            </w:r>
            <w:r>
              <w:rPr>
                <w:rFonts w:ascii="Times New Roman" w:hAnsi="Times New Roman" w:eastAsia="Times New Roman" w:cs="Times New Roman"/>
                <w:spacing w:val="-31"/>
                <w:sz w:val="30"/>
                <w:szCs w:val="30"/>
              </w:rPr>
              <w:t xml:space="preserve"> </w:t>
            </w:r>
            <w:r>
              <w:rPr>
                <w:rFonts w:ascii="仿宋" w:hAnsi="仿宋" w:eastAsia="仿宋" w:cs="仿宋"/>
                <w:sz w:val="30"/>
                <w:szCs w:val="30"/>
              </w:rPr>
              <w:t xml:space="preserve">， </w:t>
            </w:r>
            <w:r>
              <w:rPr>
                <w:rFonts w:ascii="仿宋" w:hAnsi="仿宋" w:eastAsia="仿宋" w:cs="仿宋"/>
                <w:spacing w:val="-10"/>
                <w:sz w:val="30"/>
                <w:szCs w:val="30"/>
              </w:rPr>
              <w:t>水土流失总治理度达</w:t>
            </w:r>
            <w:r>
              <w:rPr>
                <w:rFonts w:ascii="仿宋" w:hAnsi="仿宋" w:eastAsia="仿宋" w:cs="仿宋"/>
                <w:spacing w:val="-56"/>
                <w:sz w:val="30"/>
                <w:szCs w:val="30"/>
              </w:rPr>
              <w:t xml:space="preserve"> </w:t>
            </w:r>
            <w:r>
              <w:rPr>
                <w:rFonts w:ascii="Times New Roman" w:hAnsi="Times New Roman" w:eastAsia="Times New Roman" w:cs="Times New Roman"/>
                <w:spacing w:val="-10"/>
                <w:sz w:val="30"/>
                <w:szCs w:val="30"/>
              </w:rPr>
              <w:t>9</w:t>
            </w:r>
            <w:r>
              <w:rPr>
                <w:rFonts w:hint="eastAsia" w:ascii="Times New Roman" w:hAnsi="Times New Roman" w:eastAsia="宋体" w:cs="Times New Roman"/>
                <w:spacing w:val="-10"/>
                <w:sz w:val="30"/>
                <w:szCs w:val="30"/>
                <w:lang w:val="en-US" w:eastAsia="zh-CN"/>
              </w:rPr>
              <w:t>8.79</w:t>
            </w:r>
            <w:r>
              <w:rPr>
                <w:rFonts w:ascii="Times New Roman" w:hAnsi="Times New Roman" w:eastAsia="Times New Roman" w:cs="Times New Roman"/>
                <w:spacing w:val="-10"/>
                <w:sz w:val="30"/>
                <w:szCs w:val="30"/>
              </w:rPr>
              <w:t>%</w:t>
            </w:r>
            <w:r>
              <w:rPr>
                <w:rFonts w:ascii="仿宋" w:hAnsi="仿宋" w:eastAsia="仿宋" w:cs="仿宋"/>
                <w:spacing w:val="-10"/>
                <w:sz w:val="30"/>
                <w:szCs w:val="30"/>
              </w:rPr>
              <w:t>，拦渣率</w:t>
            </w:r>
            <w:r>
              <w:rPr>
                <w:rFonts w:ascii="仿宋" w:hAnsi="仿宋" w:eastAsia="仿宋" w:cs="仿宋"/>
                <w:spacing w:val="-64"/>
                <w:sz w:val="30"/>
                <w:szCs w:val="30"/>
              </w:rPr>
              <w:t xml:space="preserve"> </w:t>
            </w:r>
            <w:r>
              <w:rPr>
                <w:rFonts w:ascii="Times New Roman" w:hAnsi="Times New Roman" w:eastAsia="Times New Roman" w:cs="Times New Roman"/>
                <w:spacing w:val="-10"/>
                <w:sz w:val="30"/>
                <w:szCs w:val="30"/>
              </w:rPr>
              <w:t>9</w:t>
            </w:r>
            <w:r>
              <w:rPr>
                <w:rFonts w:hint="eastAsia" w:ascii="Times New Roman" w:hAnsi="Times New Roman" w:eastAsia="宋体" w:cs="Times New Roman"/>
                <w:spacing w:val="-10"/>
                <w:sz w:val="30"/>
                <w:szCs w:val="30"/>
                <w:lang w:val="en-US" w:eastAsia="zh-CN"/>
              </w:rPr>
              <w:t>5</w:t>
            </w:r>
            <w:r>
              <w:rPr>
                <w:rFonts w:ascii="Times New Roman" w:hAnsi="Times New Roman" w:eastAsia="Times New Roman" w:cs="Times New Roman"/>
                <w:spacing w:val="-10"/>
                <w:sz w:val="30"/>
                <w:szCs w:val="30"/>
              </w:rPr>
              <w:t>%</w:t>
            </w:r>
            <w:r>
              <w:rPr>
                <w:rFonts w:ascii="仿宋" w:hAnsi="仿宋" w:eastAsia="仿宋" w:cs="仿宋"/>
                <w:spacing w:val="-10"/>
                <w:sz w:val="30"/>
                <w:szCs w:val="30"/>
              </w:rPr>
              <w:t>，土壤流失控制比达</w:t>
            </w:r>
            <w:r>
              <w:rPr>
                <w:rFonts w:ascii="仿宋" w:hAnsi="仿宋" w:eastAsia="仿宋" w:cs="仿宋"/>
                <w:spacing w:val="-41"/>
                <w:sz w:val="30"/>
                <w:szCs w:val="30"/>
              </w:rPr>
              <w:t xml:space="preserve"> </w:t>
            </w:r>
            <w:r>
              <w:rPr>
                <w:rFonts w:ascii="Times New Roman" w:hAnsi="Times New Roman" w:eastAsia="Times New Roman" w:cs="Times New Roman"/>
                <w:spacing w:val="-10"/>
                <w:sz w:val="30"/>
                <w:szCs w:val="30"/>
              </w:rPr>
              <w:t>1</w:t>
            </w:r>
            <w:r>
              <w:rPr>
                <w:rFonts w:ascii="仿宋" w:hAnsi="仿宋" w:eastAsia="仿宋" w:cs="仿宋"/>
                <w:spacing w:val="-10"/>
                <w:sz w:val="30"/>
                <w:szCs w:val="30"/>
              </w:rPr>
              <w:t>，</w:t>
            </w:r>
            <w:r>
              <w:rPr>
                <w:rFonts w:ascii="仿宋" w:hAnsi="仿宋" w:eastAsia="仿宋" w:cs="仿宋"/>
                <w:sz w:val="30"/>
                <w:szCs w:val="30"/>
              </w:rPr>
              <w:t xml:space="preserve"> </w:t>
            </w:r>
            <w:r>
              <w:rPr>
                <w:rFonts w:ascii="仿宋" w:hAnsi="仿宋" w:eastAsia="仿宋" w:cs="仿宋"/>
                <w:spacing w:val="-5"/>
                <w:sz w:val="30"/>
                <w:szCs w:val="30"/>
              </w:rPr>
              <w:t>林草植被恢复率</w:t>
            </w:r>
            <w:r>
              <w:rPr>
                <w:rFonts w:ascii="仿宋" w:hAnsi="仿宋" w:eastAsia="仿宋" w:cs="仿宋"/>
                <w:spacing w:val="-57"/>
                <w:sz w:val="30"/>
                <w:szCs w:val="30"/>
              </w:rPr>
              <w:t xml:space="preserve"> </w:t>
            </w:r>
            <w:r>
              <w:rPr>
                <w:rFonts w:ascii="Times New Roman" w:hAnsi="Times New Roman" w:eastAsia="Times New Roman" w:cs="Times New Roman"/>
                <w:spacing w:val="-5"/>
                <w:sz w:val="30"/>
                <w:szCs w:val="30"/>
              </w:rPr>
              <w:t>99.</w:t>
            </w:r>
            <w:r>
              <w:rPr>
                <w:rFonts w:hint="eastAsia" w:ascii="Times New Roman" w:hAnsi="Times New Roman" w:eastAsia="宋体" w:cs="Times New Roman"/>
                <w:spacing w:val="-5"/>
                <w:sz w:val="30"/>
                <w:szCs w:val="30"/>
                <w:lang w:val="en-US" w:eastAsia="zh-CN"/>
              </w:rPr>
              <w:t>01</w:t>
            </w:r>
            <w:r>
              <w:rPr>
                <w:rFonts w:ascii="Times New Roman" w:hAnsi="Times New Roman" w:eastAsia="Times New Roman" w:cs="Times New Roman"/>
                <w:spacing w:val="-5"/>
                <w:sz w:val="30"/>
                <w:szCs w:val="30"/>
              </w:rPr>
              <w:t>%</w:t>
            </w:r>
            <w:r>
              <w:rPr>
                <w:rFonts w:ascii="仿宋" w:hAnsi="仿宋" w:eastAsia="仿宋" w:cs="仿宋"/>
                <w:spacing w:val="-5"/>
                <w:sz w:val="30"/>
                <w:szCs w:val="30"/>
              </w:rPr>
              <w:t>，林草覆盖率</w:t>
            </w:r>
            <w:r>
              <w:rPr>
                <w:rFonts w:ascii="仿宋" w:hAnsi="仿宋" w:eastAsia="仿宋" w:cs="仿宋"/>
                <w:spacing w:val="-69"/>
                <w:sz w:val="30"/>
                <w:szCs w:val="30"/>
              </w:rPr>
              <w:t xml:space="preserve"> </w:t>
            </w:r>
            <w:r>
              <w:rPr>
                <w:rFonts w:hint="eastAsia" w:ascii="Times New Roman" w:hAnsi="Times New Roman" w:eastAsia="宋体" w:cs="Times New Roman"/>
                <w:spacing w:val="-5"/>
                <w:sz w:val="30"/>
                <w:szCs w:val="30"/>
                <w:lang w:val="en-US" w:eastAsia="zh-CN"/>
              </w:rPr>
              <w:t>60.31</w:t>
            </w:r>
            <w:r>
              <w:rPr>
                <w:rFonts w:ascii="Times New Roman" w:hAnsi="Times New Roman" w:eastAsia="Times New Roman" w:cs="Times New Roman"/>
                <w:spacing w:val="-5"/>
                <w:sz w:val="30"/>
                <w:szCs w:val="30"/>
              </w:rPr>
              <w:t>%</w:t>
            </w:r>
            <w:r>
              <w:rPr>
                <w:rFonts w:ascii="仿宋" w:hAnsi="仿宋" w:eastAsia="仿宋" w:cs="仿宋"/>
                <w:spacing w:val="-5"/>
                <w:sz w:val="30"/>
                <w:szCs w:val="30"/>
              </w:rPr>
              <w:t>，各项水土保持设施运</w:t>
            </w:r>
            <w:r>
              <w:rPr>
                <w:rFonts w:ascii="仿宋" w:hAnsi="仿宋" w:eastAsia="仿宋" w:cs="仿宋"/>
                <w:spacing w:val="-4"/>
                <w:sz w:val="30"/>
                <w:szCs w:val="30"/>
              </w:rPr>
              <w:t>行正常，发挥了较好的水土保持功效。</w:t>
            </w:r>
          </w:p>
          <w:p>
            <w:pPr>
              <w:spacing w:before="290" w:line="240" w:lineRule="auto"/>
              <w:ind w:firstLine="732"/>
              <w:outlineLvl w:val="0"/>
              <w:rPr>
                <w:rFonts w:ascii="仿宋" w:hAnsi="仿宋" w:eastAsia="仿宋" w:cs="仿宋"/>
                <w:sz w:val="30"/>
                <w:szCs w:val="30"/>
              </w:rPr>
            </w:pPr>
            <w:r>
              <w:rPr>
                <w:rFonts w:ascii="仿宋" w:hAnsi="仿宋" w:eastAsia="仿宋" w:cs="仿宋"/>
                <w:spacing w:val="-3"/>
                <w:sz w:val="30"/>
                <w:szCs w:val="30"/>
                <w14:textOutline w14:w="3810" w14:cap="flat" w14:cmpd="sng">
                  <w14:solidFill>
                    <w14:srgbClr w14:val="000000"/>
                  </w14:solidFill>
                  <w14:prstDash w14:val="solid"/>
                  <w14:miter w14:val="0"/>
                </w14:textOutline>
              </w:rPr>
              <w:t>六、验收结论</w:t>
            </w:r>
          </w:p>
          <w:p>
            <w:pPr>
              <w:spacing w:before="317" w:line="384" w:lineRule="auto"/>
              <w:ind w:left="127" w:right="107" w:firstLine="607"/>
              <w:rPr>
                <w:rFonts w:hint="default" w:ascii="仿宋" w:hAnsi="仿宋" w:eastAsia="仿宋" w:cs="仿宋"/>
                <w:sz w:val="30"/>
                <w:szCs w:val="30"/>
                <w:lang w:val="en-US" w:eastAsia="zh-CN"/>
              </w:rPr>
            </w:pPr>
            <w:r>
              <w:rPr>
                <w:rFonts w:hint="eastAsia" w:ascii="仿宋" w:hAnsi="仿宋" w:eastAsia="仿宋" w:cs="仿宋"/>
                <w:spacing w:val="7"/>
                <w:sz w:val="30"/>
                <w:szCs w:val="30"/>
                <w:lang w:val="en-US" w:eastAsia="zh-CN"/>
              </w:rPr>
              <w:t>衡阳市城市建设投资</w:t>
            </w:r>
            <w:r>
              <w:rPr>
                <w:rFonts w:ascii="仿宋" w:hAnsi="仿宋" w:eastAsia="仿宋" w:cs="仿宋"/>
                <w:spacing w:val="7"/>
                <w:sz w:val="30"/>
                <w:szCs w:val="30"/>
              </w:rPr>
              <w:t>有限公司十分重视</w:t>
            </w:r>
            <w:r>
              <w:rPr>
                <w:rFonts w:hint="eastAsia" w:ascii="仿宋" w:hAnsi="仿宋" w:eastAsia="仿宋" w:cs="仿宋"/>
                <w:spacing w:val="7"/>
                <w:sz w:val="30"/>
                <w:szCs w:val="30"/>
                <w:lang w:val="en-US" w:eastAsia="zh-CN"/>
              </w:rPr>
              <w:t>华天路新建工程</w:t>
            </w:r>
            <w:r>
              <w:rPr>
                <w:rFonts w:ascii="仿宋" w:hAnsi="仿宋" w:eastAsia="仿宋" w:cs="仿宋"/>
                <w:spacing w:val="-9"/>
                <w:sz w:val="30"/>
                <w:szCs w:val="30"/>
              </w:rPr>
              <w:t>项目的水土保持工作</w:t>
            </w:r>
            <w:r>
              <w:rPr>
                <w:rFonts w:hint="eastAsia" w:ascii="仿宋" w:hAnsi="仿宋" w:eastAsia="仿宋" w:cs="仿宋"/>
                <w:spacing w:val="-9"/>
                <w:sz w:val="30"/>
                <w:szCs w:val="30"/>
                <w:lang w:eastAsia="zh-CN"/>
              </w:rPr>
              <w:t>，</w:t>
            </w:r>
            <w:r>
              <w:rPr>
                <w:rFonts w:ascii="仿宋" w:hAnsi="仿宋" w:eastAsia="仿宋" w:cs="仿宋"/>
                <w:spacing w:val="-9"/>
                <w:sz w:val="30"/>
                <w:szCs w:val="30"/>
              </w:rPr>
              <w:t>切实履</w:t>
            </w:r>
            <w:r>
              <w:rPr>
                <w:rFonts w:hint="eastAsia" w:ascii="仿宋" w:hAnsi="仿宋" w:eastAsia="仿宋" w:cs="仿宋"/>
                <w:spacing w:val="-9"/>
                <w:sz w:val="30"/>
                <w:szCs w:val="30"/>
                <w:lang w:val="en-US" w:eastAsia="zh-CN"/>
              </w:rPr>
              <w:t>行</w:t>
            </w:r>
            <w:r>
              <w:rPr>
                <w:rFonts w:ascii="仿宋" w:hAnsi="仿宋" w:eastAsia="仿宋" w:cs="仿宋"/>
                <w:spacing w:val="-9"/>
                <w:sz w:val="30"/>
                <w:szCs w:val="30"/>
              </w:rPr>
              <w:t>水土</w:t>
            </w:r>
            <w:r>
              <w:rPr>
                <w:rFonts w:ascii="仿宋" w:hAnsi="仿宋" w:eastAsia="仿宋" w:cs="仿宋"/>
                <w:spacing w:val="-11"/>
                <w:sz w:val="30"/>
                <w:szCs w:val="30"/>
              </w:rPr>
              <w:t>保持法律、法规义务</w:t>
            </w:r>
            <w:r>
              <w:rPr>
                <w:rFonts w:hint="eastAsia" w:ascii="仿宋" w:hAnsi="仿宋" w:eastAsia="仿宋" w:cs="仿宋"/>
                <w:spacing w:val="-11"/>
                <w:sz w:val="30"/>
                <w:szCs w:val="30"/>
                <w:lang w:eastAsia="zh-CN"/>
              </w:rPr>
              <w:t>，</w:t>
            </w:r>
            <w:r>
              <w:rPr>
                <w:rFonts w:ascii="仿宋" w:hAnsi="仿宋" w:eastAsia="仿宋" w:cs="仿宋"/>
                <w:spacing w:val="-11"/>
                <w:sz w:val="30"/>
                <w:szCs w:val="30"/>
              </w:rPr>
              <w:t>在项目实施</w:t>
            </w:r>
          </w:p>
        </w:tc>
      </w:tr>
    </w:tbl>
    <w:p>
      <w:pPr>
        <w:rPr>
          <w:rFonts w:ascii="宋体"/>
          <w:sz w:val="21"/>
        </w:rPr>
      </w:pPr>
    </w:p>
    <w:p>
      <w:pPr>
        <w:sectPr>
          <w:pgSz w:w="11905" w:h="16840"/>
          <w:pgMar w:top="1440" w:right="1440" w:bottom="1440" w:left="1440" w:header="0" w:footer="0" w:gutter="0"/>
          <w:cols w:space="720" w:num="1"/>
        </w:sectPr>
      </w:pPr>
    </w:p>
    <w:p>
      <w:pPr>
        <w:spacing w:line="89" w:lineRule="auto"/>
        <w:rPr>
          <w:rFonts w:ascii="Arial"/>
          <w:sz w:val="2"/>
        </w:rPr>
      </w:pPr>
    </w:p>
    <w:tbl>
      <w:tblPr>
        <w:tblStyle w:val="29"/>
        <w:tblW w:w="8842" w:type="dxa"/>
        <w:tblInd w:w="2" w:type="dxa"/>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Layout w:type="fixed"/>
        <w:tblCellMar>
          <w:top w:w="0" w:type="dxa"/>
          <w:left w:w="0" w:type="dxa"/>
          <w:bottom w:w="0" w:type="dxa"/>
          <w:right w:w="0" w:type="dxa"/>
        </w:tblCellMar>
      </w:tblPr>
      <w:tblGrid>
        <w:gridCol w:w="8842"/>
      </w:tblGrid>
      <w:tr>
        <w:tblPrEx>
          <w:tblBorders>
            <w:top w:val="single" w:color="000000" w:sz="2" w:space="0"/>
            <w:left w:val="single" w:color="000000" w:sz="2" w:space="0"/>
            <w:bottom w:val="single" w:color="000000" w:sz="2" w:space="0"/>
            <w:right w:val="single" w:color="000000" w:sz="2" w:space="0"/>
            <w:insideH w:val="none" w:color="auto" w:sz="0" w:space="0"/>
            <w:insideV w:val="none" w:color="auto" w:sz="0" w:space="0"/>
          </w:tblBorders>
          <w:tblCellMar>
            <w:top w:w="0" w:type="dxa"/>
            <w:left w:w="0" w:type="dxa"/>
            <w:bottom w:w="0" w:type="dxa"/>
            <w:right w:w="0" w:type="dxa"/>
          </w:tblCellMar>
        </w:tblPrEx>
        <w:trPr>
          <w:trHeight w:val="12614" w:hRule="atLeast"/>
        </w:trPr>
        <w:tc>
          <w:tcPr>
            <w:tcW w:w="8842" w:type="dxa"/>
            <w:vAlign w:val="top"/>
          </w:tcPr>
          <w:p>
            <w:pPr>
              <w:spacing w:before="166" w:line="384" w:lineRule="auto"/>
              <w:ind w:right="91"/>
              <w:rPr>
                <w:rFonts w:ascii="仿宋" w:hAnsi="仿宋" w:eastAsia="仿宋" w:cs="仿宋"/>
                <w:sz w:val="30"/>
                <w:szCs w:val="30"/>
              </w:rPr>
            </w:pPr>
            <w:r>
              <w:rPr>
                <w:rFonts w:ascii="仿宋" w:hAnsi="仿宋" w:eastAsia="仿宋" w:cs="仿宋"/>
                <w:spacing w:val="-11"/>
                <w:sz w:val="30"/>
                <w:szCs w:val="30"/>
              </w:rPr>
              <w:t>过程中落实了水土保持方案及批</w:t>
            </w:r>
            <w:r>
              <w:rPr>
                <w:rFonts w:ascii="仿宋" w:hAnsi="仿宋" w:eastAsia="仿宋" w:cs="仿宋"/>
                <w:spacing w:val="-18"/>
                <w:sz w:val="30"/>
                <w:szCs w:val="30"/>
              </w:rPr>
              <w:t>复文件要求</w:t>
            </w:r>
            <w:r>
              <w:rPr>
                <w:rFonts w:hint="eastAsia" w:ascii="仿宋" w:hAnsi="仿宋" w:eastAsia="仿宋" w:cs="仿宋"/>
                <w:spacing w:val="-18"/>
                <w:sz w:val="30"/>
                <w:szCs w:val="30"/>
                <w:lang w:eastAsia="zh-CN"/>
              </w:rPr>
              <w:t>，</w:t>
            </w:r>
            <w:r>
              <w:rPr>
                <w:rFonts w:ascii="仿宋" w:hAnsi="仿宋" w:eastAsia="仿宋" w:cs="仿宋"/>
                <w:spacing w:val="-18"/>
                <w:sz w:val="30"/>
                <w:szCs w:val="30"/>
              </w:rPr>
              <w:t>完成了水土流失预防和治理任务，水土流失防治指标</w:t>
            </w:r>
            <w:r>
              <w:rPr>
                <w:rFonts w:hint="eastAsia" w:ascii="仿宋" w:hAnsi="仿宋" w:eastAsia="仿宋" w:cs="仿宋"/>
                <w:spacing w:val="-18"/>
                <w:sz w:val="30"/>
                <w:szCs w:val="30"/>
                <w:lang w:val="en-US" w:eastAsia="zh-CN"/>
              </w:rPr>
              <w:t>达到了水土保持方案确定的目标值，符</w:t>
            </w:r>
            <w:r>
              <w:rPr>
                <w:rFonts w:ascii="仿宋" w:hAnsi="仿宋" w:eastAsia="仿宋" w:cs="仿宋"/>
                <w:spacing w:val="-3"/>
                <w:sz w:val="30"/>
                <w:szCs w:val="30"/>
              </w:rPr>
              <w:t>合水土保持设施验收条件，</w:t>
            </w:r>
            <w:r>
              <w:rPr>
                <w:rFonts w:ascii="仿宋" w:hAnsi="仿宋" w:eastAsia="仿宋" w:cs="仿宋"/>
                <w:spacing w:val="1"/>
                <w:sz w:val="30"/>
                <w:szCs w:val="30"/>
              </w:rPr>
              <w:t xml:space="preserve"> </w:t>
            </w:r>
            <w:r>
              <w:rPr>
                <w:rFonts w:ascii="仿宋" w:hAnsi="仿宋" w:eastAsia="仿宋" w:cs="仿宋"/>
                <w:spacing w:val="-6"/>
                <w:sz w:val="30"/>
                <w:szCs w:val="30"/>
              </w:rPr>
              <w:t>同意该项目水土保持设施通过验收。</w:t>
            </w:r>
          </w:p>
          <w:p>
            <w:pPr>
              <w:spacing w:before="1" w:line="204" w:lineRule="auto"/>
              <w:ind w:firstLine="736"/>
              <w:outlineLvl w:val="0"/>
              <w:rPr>
                <w:rFonts w:ascii="仿宋" w:hAnsi="仿宋" w:eastAsia="仿宋" w:cs="仿宋"/>
                <w:sz w:val="30"/>
                <w:szCs w:val="30"/>
              </w:rPr>
            </w:pPr>
            <w:r>
              <w:rPr>
                <w:rFonts w:ascii="仿宋" w:hAnsi="仿宋" w:eastAsia="仿宋" w:cs="仿宋"/>
                <w:spacing w:val="-2"/>
                <w:sz w:val="30"/>
                <w:szCs w:val="30"/>
                <w14:textOutline w14:w="3810" w14:cap="flat" w14:cmpd="sng">
                  <w14:solidFill>
                    <w14:srgbClr w14:val="000000"/>
                  </w14:solidFill>
                  <w14:prstDash w14:val="solid"/>
                  <w14:miter w14:val="0"/>
                </w14:textOutline>
              </w:rPr>
              <w:t>七、后续管护要求</w:t>
            </w:r>
          </w:p>
          <w:p>
            <w:pPr>
              <w:spacing w:before="291" w:line="384" w:lineRule="auto"/>
              <w:ind w:left="128" w:right="77" w:firstLine="605"/>
              <w:rPr>
                <w:rFonts w:ascii="仿宋" w:hAnsi="仿宋" w:eastAsia="仿宋" w:cs="仿宋"/>
                <w:sz w:val="30"/>
                <w:szCs w:val="30"/>
              </w:rPr>
            </w:pPr>
            <w:r>
              <w:rPr>
                <w:rFonts w:hint="eastAsia" w:ascii="仿宋" w:hAnsi="仿宋" w:eastAsia="仿宋" w:cs="仿宋"/>
                <w:spacing w:val="7"/>
                <w:sz w:val="30"/>
                <w:szCs w:val="30"/>
                <w:lang w:val="en-US" w:eastAsia="zh-CN"/>
              </w:rPr>
              <w:t>衡阳市城市建设投资</w:t>
            </w:r>
            <w:r>
              <w:rPr>
                <w:rFonts w:ascii="仿宋" w:hAnsi="仿宋" w:eastAsia="仿宋" w:cs="仿宋"/>
                <w:spacing w:val="7"/>
                <w:sz w:val="30"/>
                <w:szCs w:val="30"/>
              </w:rPr>
              <w:t>有限公司已明确了水土保持设施管理维护</w:t>
            </w:r>
            <w:r>
              <w:rPr>
                <w:rFonts w:ascii="仿宋" w:hAnsi="仿宋" w:eastAsia="仿宋" w:cs="仿宋"/>
                <w:spacing w:val="-3"/>
                <w:sz w:val="30"/>
                <w:szCs w:val="30"/>
              </w:rPr>
              <w:t>部门，应建立健全水土保持措施管理养护责任制，加强补植补种、</w:t>
            </w:r>
            <w:r>
              <w:rPr>
                <w:rFonts w:ascii="仿宋" w:hAnsi="仿宋" w:eastAsia="仿宋" w:cs="仿宋"/>
                <w:spacing w:val="-11"/>
                <w:sz w:val="30"/>
                <w:szCs w:val="30"/>
              </w:rPr>
              <w:t>提高树草成活率</w:t>
            </w:r>
            <w:r>
              <w:rPr>
                <w:rFonts w:hint="eastAsia" w:ascii="仿宋" w:hAnsi="仿宋" w:eastAsia="仿宋" w:cs="仿宋"/>
                <w:spacing w:val="-11"/>
                <w:sz w:val="30"/>
                <w:szCs w:val="30"/>
                <w:lang w:eastAsia="zh-CN"/>
              </w:rPr>
              <w:t>、</w:t>
            </w:r>
            <w:r>
              <w:rPr>
                <w:rFonts w:ascii="仿宋" w:hAnsi="仿宋" w:eastAsia="仿宋" w:cs="仿宋"/>
                <w:spacing w:val="-11"/>
                <w:sz w:val="30"/>
                <w:szCs w:val="30"/>
              </w:rPr>
              <w:t>加强日常养护，确保已建水土保持措施长效、稳</w:t>
            </w:r>
            <w:r>
              <w:rPr>
                <w:rFonts w:ascii="仿宋" w:hAnsi="仿宋" w:eastAsia="仿宋" w:cs="仿宋"/>
                <w:spacing w:val="-6"/>
                <w:sz w:val="30"/>
                <w:szCs w:val="30"/>
              </w:rPr>
              <w:t>定的发挥水土保持作用。</w:t>
            </w:r>
          </w:p>
        </w:tc>
      </w:tr>
    </w:tbl>
    <w:p>
      <w:pPr>
        <w:rPr>
          <w:rFonts w:ascii="宋体"/>
          <w:sz w:val="21"/>
        </w:rPr>
      </w:pPr>
    </w:p>
    <w:p>
      <w:pPr>
        <w:rPr>
          <w:rFonts w:ascii="宋体"/>
          <w:sz w:val="21"/>
        </w:rPr>
      </w:pPr>
    </w:p>
    <w:p>
      <w:pPr>
        <w:rPr>
          <w:rFonts w:ascii="宋体"/>
          <w:sz w:val="21"/>
        </w:rPr>
      </w:pPr>
    </w:p>
    <w:p>
      <w:pPr>
        <w:rPr>
          <w:rFonts w:ascii="宋体"/>
          <w:sz w:val="21"/>
        </w:rPr>
      </w:pPr>
    </w:p>
    <w:p>
      <w:pPr>
        <w:keepNext w:val="0"/>
        <w:keepLines w:val="0"/>
        <w:pageBreakBefore w:val="0"/>
        <w:widowControl/>
        <w:kinsoku w:val="0"/>
        <w:wordWrap/>
        <w:overflowPunct/>
        <w:topLinePunct w:val="0"/>
        <w:autoSpaceDE w:val="0"/>
        <w:autoSpaceDN w:val="0"/>
        <w:bidi w:val="0"/>
        <w:adjustRightInd w:val="0"/>
        <w:snapToGrid w:val="0"/>
        <w:ind w:firstLine="640" w:firstLineChars="200"/>
        <w:textAlignment w:val="baseline"/>
        <w:rPr>
          <w:rFonts w:hint="eastAsia" w:ascii="黑体" w:hAnsi="黑体" w:eastAsia="黑体" w:cs="黑体"/>
          <w:sz w:val="32"/>
          <w:szCs w:val="32"/>
          <w:lang w:val="en-US" w:eastAsia="zh-CN"/>
        </w:rPr>
      </w:pPr>
      <w:r>
        <w:rPr>
          <w:rFonts w:hint="eastAsia" w:ascii="黑体" w:hAnsi="黑体" w:eastAsia="黑体" w:cs="黑体"/>
          <w:sz w:val="32"/>
          <w:szCs w:val="32"/>
          <w:lang w:val="en-US" w:eastAsia="zh-CN"/>
        </w:rPr>
        <w:t>三、验收组成员签字表</w:t>
      </w:r>
    </w:p>
    <w:p>
      <w:pPr>
        <w:keepNext w:val="0"/>
        <w:keepLines w:val="0"/>
        <w:pageBreakBefore w:val="0"/>
        <w:widowControl/>
        <w:kinsoku w:val="0"/>
        <w:wordWrap/>
        <w:overflowPunct/>
        <w:topLinePunct w:val="0"/>
        <w:autoSpaceDE w:val="0"/>
        <w:autoSpaceDN w:val="0"/>
        <w:bidi w:val="0"/>
        <w:adjustRightInd w:val="0"/>
        <w:snapToGrid w:val="0"/>
        <w:textAlignment w:val="baseline"/>
      </w:pPr>
    </w:p>
    <w:tbl>
      <w:tblPr>
        <w:tblStyle w:val="20"/>
        <w:tblW w:w="10046" w:type="dxa"/>
        <w:tblInd w:w="-43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149"/>
        <w:gridCol w:w="1406"/>
        <w:gridCol w:w="3102"/>
        <w:gridCol w:w="1732"/>
        <w:gridCol w:w="1131"/>
        <w:gridCol w:w="15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49"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分工</w:t>
            </w:r>
          </w:p>
        </w:tc>
        <w:tc>
          <w:tcPr>
            <w:tcW w:w="140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姓名</w:t>
            </w:r>
          </w:p>
        </w:tc>
        <w:tc>
          <w:tcPr>
            <w:tcW w:w="310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单位</w:t>
            </w:r>
          </w:p>
        </w:tc>
        <w:tc>
          <w:tcPr>
            <w:tcW w:w="173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职务/职称</w:t>
            </w:r>
          </w:p>
        </w:tc>
        <w:tc>
          <w:tcPr>
            <w:tcW w:w="1131"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签字</w:t>
            </w:r>
          </w:p>
        </w:tc>
        <w:tc>
          <w:tcPr>
            <w:tcW w:w="152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32"/>
                <w:szCs w:val="32"/>
                <w:vertAlign w:val="baseline"/>
                <w:lang w:val="en-US" w:eastAsia="zh-CN"/>
              </w:rPr>
            </w:pPr>
            <w:r>
              <w:rPr>
                <w:rFonts w:hint="eastAsia" w:ascii="仿宋" w:hAnsi="仿宋" w:eastAsia="仿宋" w:cs="仿宋"/>
                <w:sz w:val="32"/>
                <w:szCs w:val="32"/>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49"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eastAsia="zh-CN"/>
              </w:rPr>
            </w:pPr>
          </w:p>
        </w:tc>
        <w:tc>
          <w:tcPr>
            <w:tcW w:w="140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rPr>
            </w:pPr>
          </w:p>
        </w:tc>
        <w:tc>
          <w:tcPr>
            <w:tcW w:w="310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rPr>
            </w:pPr>
          </w:p>
        </w:tc>
        <w:tc>
          <w:tcPr>
            <w:tcW w:w="173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rPr>
            </w:pPr>
          </w:p>
        </w:tc>
        <w:tc>
          <w:tcPr>
            <w:tcW w:w="1131"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rPr>
            </w:pPr>
          </w:p>
        </w:tc>
        <w:tc>
          <w:tcPr>
            <w:tcW w:w="152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49"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40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310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衡阳市城市建设投资有限公司</w:t>
            </w:r>
          </w:p>
        </w:tc>
        <w:tc>
          <w:tcPr>
            <w:tcW w:w="173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131"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52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建设单位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49"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40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310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湖南华意项目管理有限公司</w:t>
            </w:r>
          </w:p>
        </w:tc>
        <w:tc>
          <w:tcPr>
            <w:tcW w:w="173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131"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52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监测单位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49"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40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310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湖南顺天集团建设有限公司</w:t>
            </w:r>
          </w:p>
        </w:tc>
        <w:tc>
          <w:tcPr>
            <w:tcW w:w="173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131"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52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施工单位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49"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40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310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湖南安泰项目管理有限公司</w:t>
            </w:r>
          </w:p>
        </w:tc>
        <w:tc>
          <w:tcPr>
            <w:tcW w:w="173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131"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52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监理单位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49"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40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310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r>
              <w:rPr>
                <w:rFonts w:hint="eastAsia" w:ascii="仿宋" w:hAnsi="仿宋" w:eastAsia="仿宋" w:cs="仿宋"/>
                <w:spacing w:val="-1"/>
                <w:sz w:val="24"/>
                <w:szCs w:val="24"/>
                <w:lang w:val="en-US" w:eastAsia="zh-CN"/>
              </w:rPr>
              <w:t>湖南蓝博湾地理信息科技有限</w:t>
            </w:r>
            <w:r>
              <w:rPr>
                <w:rFonts w:ascii="仿宋" w:hAnsi="仿宋" w:eastAsia="仿宋" w:cs="仿宋"/>
                <w:spacing w:val="-1"/>
                <w:sz w:val="24"/>
                <w:szCs w:val="24"/>
              </w:rPr>
              <w:t>公司</w:t>
            </w:r>
          </w:p>
        </w:tc>
        <w:tc>
          <w:tcPr>
            <w:tcW w:w="173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131"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52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验收报告编制单位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49"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40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310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default"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衡阳市规划设计院</w:t>
            </w:r>
          </w:p>
        </w:tc>
        <w:tc>
          <w:tcPr>
            <w:tcW w:w="173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131"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52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lang w:val="en-US" w:eastAsia="zh-CN"/>
              </w:rPr>
            </w:pPr>
            <w:r>
              <w:rPr>
                <w:rFonts w:hint="eastAsia" w:ascii="仿宋" w:hAnsi="仿宋" w:eastAsia="仿宋" w:cs="仿宋"/>
                <w:sz w:val="24"/>
                <w:szCs w:val="24"/>
                <w:vertAlign w:val="baseline"/>
                <w:lang w:val="en-US" w:eastAsia="zh-CN"/>
              </w:rPr>
              <w:t>设计单位</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49"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40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310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73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131"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52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49"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40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310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73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131"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52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49"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40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310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73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131"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52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7" w:hRule="atLeast"/>
        </w:trPr>
        <w:tc>
          <w:tcPr>
            <w:tcW w:w="1149"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40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310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732"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131"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c>
          <w:tcPr>
            <w:tcW w:w="1526" w:type="dxa"/>
            <w:vAlign w:val="center"/>
          </w:tcPr>
          <w:p>
            <w:pPr>
              <w:keepNext w:val="0"/>
              <w:keepLines w:val="0"/>
              <w:pageBreakBefore w:val="0"/>
              <w:widowControl/>
              <w:kinsoku w:val="0"/>
              <w:wordWrap/>
              <w:overflowPunct/>
              <w:topLinePunct w:val="0"/>
              <w:autoSpaceDE w:val="0"/>
              <w:autoSpaceDN w:val="0"/>
              <w:bidi w:val="0"/>
              <w:adjustRightInd w:val="0"/>
              <w:snapToGrid w:val="0"/>
              <w:jc w:val="center"/>
              <w:textAlignment w:val="baseline"/>
              <w:rPr>
                <w:rFonts w:hint="eastAsia" w:ascii="仿宋" w:hAnsi="仿宋" w:eastAsia="仿宋" w:cs="仿宋"/>
                <w:sz w:val="24"/>
                <w:szCs w:val="24"/>
                <w:vertAlign w:val="baseline"/>
              </w:rPr>
            </w:pPr>
          </w:p>
        </w:tc>
      </w:tr>
    </w:tbl>
    <w:p>
      <w:pPr>
        <w:keepNext w:val="0"/>
        <w:keepLines w:val="0"/>
        <w:pageBreakBefore w:val="0"/>
        <w:widowControl/>
        <w:kinsoku w:val="0"/>
        <w:wordWrap/>
        <w:overflowPunct/>
        <w:topLinePunct w:val="0"/>
        <w:autoSpaceDE w:val="0"/>
        <w:autoSpaceDN w:val="0"/>
        <w:bidi w:val="0"/>
        <w:adjustRightInd w:val="0"/>
        <w:snapToGrid w:val="0"/>
        <w:textAlignment w:val="baseline"/>
        <w:sectPr>
          <w:pgSz w:w="11905" w:h="16840"/>
          <w:pgMar w:top="1440" w:right="1440" w:bottom="1440" w:left="1440" w:header="0" w:footer="0" w:gutter="0"/>
          <w:cols w:space="720" w:num="1"/>
        </w:sectPr>
      </w:pPr>
    </w:p>
    <w:p>
      <w:pPr>
        <w:keepNext w:val="0"/>
        <w:keepLines w:val="0"/>
        <w:pageBreakBefore w:val="0"/>
        <w:widowControl w:val="0"/>
        <w:kinsoku/>
        <w:wordWrap/>
        <w:overflowPunct/>
        <w:topLinePunct w:val="0"/>
        <w:autoSpaceDE/>
        <w:autoSpaceDN/>
        <w:bidi w:val="0"/>
        <w:adjustRightInd/>
        <w:snapToGrid/>
        <w:spacing w:line="360" w:lineRule="auto"/>
        <w:textAlignment w:val="auto"/>
        <w:rPr>
          <w:rFonts w:hint="default" w:ascii="Times New Roman" w:hAnsi="Times New Roman" w:cs="Times New Roman"/>
          <w:color w:val="auto"/>
          <w:lang w:val="en-US" w:eastAsia="zh-CN"/>
        </w:rPr>
      </w:pPr>
    </w:p>
    <w:sectPr>
      <w:footerReference r:id="rId34" w:type="default"/>
      <w:pgSz w:w="11906" w:h="16838"/>
      <w:pgMar w:top="1440" w:right="1440" w:bottom="1440" w:left="144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88"/>
    <w:family w:val="modern"/>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
    <w:panose1 w:val="02010609060101010101"/>
    <w:charset w:val="86"/>
    <w:family w:val="auto"/>
    <w:pitch w:val="default"/>
    <w:sig w:usb0="800002BF" w:usb1="38CF7CFA" w:usb2="00000016" w:usb3="00000000" w:csb0="00040001" w:csb1="00000000"/>
  </w:font>
  <w:font w:name="仿宋_GB2312">
    <w:panose1 w:val="02010609030101010101"/>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新宋体">
    <w:panose1 w:val="02010609030101010101"/>
    <w:charset w:val="86"/>
    <w:family w:val="auto"/>
    <w:pitch w:val="default"/>
    <w:sig w:usb0="00000003" w:usb1="288F0000" w:usb2="0000000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default"/>
        <w:lang w:val="en-US"/>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default"/>
        <w:lang w:val="en-US"/>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default"/>
        <w:lang w:val="en-US"/>
      </w:rPr>
    </w:pPr>
    <w:r>
      <w:rPr>
        <w:sz w:val="18"/>
      </w:rPr>
      <mc:AlternateContent>
        <mc:Choice Requires="wps">
          <w:drawing>
            <wp:anchor distT="0" distB="0" distL="114300" distR="114300" simplePos="0" relativeHeight="251661312" behindDoc="0" locked="0" layoutInCell="1" allowOverlap="1">
              <wp:simplePos x="0" y="0"/>
              <wp:positionH relativeFrom="margin">
                <wp:align>center</wp:align>
              </wp:positionH>
              <wp:positionV relativeFrom="paragraph">
                <wp:posOffset>0</wp:posOffset>
              </wp:positionV>
              <wp:extent cx="1828800" cy="1828800"/>
              <wp:effectExtent l="0" t="0" r="0" b="0"/>
              <wp:wrapNone/>
              <wp:docPr id="10" name="文本框 10"/>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2</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1312;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Kmor5UxAgAAYw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CpqK+VMQIAAGMEAAAOAAAAAAAAAAEAIAAAAB8BAABkcnMvZTJvRG9jLnhtbFBLBQYA&#10;AAAABgAGAFkBAADCBQ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2</w:t>
                    </w:r>
                    <w: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240" w:lineRule="auto"/>
      <w:jc w:val="center"/>
      <w:rPr>
        <w:rFonts w:hint="eastAsia" w:eastAsia="仿宋"/>
        <w:sz w:val="20"/>
        <w:lang w:val="en-US" w:eastAsia="zh-CN"/>
      </w:rPr>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spacing w:line="240" w:lineRule="auto"/>
      <w:jc w:val="center"/>
      <w:rPr>
        <w:rFonts w:hint="eastAsia" w:eastAsia="仿宋"/>
        <w:sz w:val="20"/>
        <w:lang w:val="en-US" w:eastAsia="zh-CN"/>
      </w:rPr>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ascii="楷体" w:hAnsi="楷体" w:eastAsia="楷体" w:cs="楷体"/>
        <w:sz w:val="18"/>
        <w:szCs w:val="18"/>
        <w:lang w:val="en-US"/>
      </w:rPr>
    </w:pPr>
    <w:r>
      <w:rPr>
        <w:rFonts w:hint="eastAsia" w:ascii="楷体" w:hAnsi="楷体" w:eastAsia="楷体" w:cs="楷体"/>
        <w:sz w:val="18"/>
        <w:szCs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33" name="文本框 3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Ec+bJUzAgAAYwQAAA4AAAAAAAAAAQAgAAAAHwEAAGRycy9lMm9Eb2MueG1sUEsF&#10;BgAAAAAGAAYAWQEAAMQFA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eastAsia" w:ascii="楷体" w:hAnsi="楷体" w:eastAsia="楷体" w:cs="楷体"/>
        <w:sz w:val="18"/>
        <w:szCs w:val="18"/>
        <w:lang w:val="en-US"/>
      </w:rPr>
    </w:pPr>
    <w:r>
      <w:rPr>
        <w:rFonts w:hint="eastAsia" w:ascii="楷体" w:hAnsi="楷体" w:eastAsia="楷体" w:cs="楷体"/>
        <w:sz w:val="18"/>
        <w:szCs w:val="18"/>
      </w:rPr>
      <mc:AlternateContent>
        <mc:Choice Requires="wps">
          <w:drawing>
            <wp:anchor distT="0" distB="0" distL="114300" distR="114300" simplePos="0" relativeHeight="251668480" behindDoc="0" locked="0" layoutInCell="1" allowOverlap="1">
              <wp:simplePos x="0" y="0"/>
              <wp:positionH relativeFrom="margin">
                <wp:align>center</wp:align>
              </wp:positionH>
              <wp:positionV relativeFrom="paragraph">
                <wp:posOffset>0</wp:posOffset>
              </wp:positionV>
              <wp:extent cx="1828800" cy="1828800"/>
              <wp:effectExtent l="0" t="0" r="0" b="0"/>
              <wp:wrapNone/>
              <wp:docPr id="74" name="文本框 7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4"/>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848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">
              <v:fill on="f" focussize="0,0"/>
              <v:stroke on="f" weight="0.5pt"/>
              <v:imagedata o:title=""/>
              <o:lock v:ext="edit" aspectratio="f"/>
              <v:textbox inset="0mm,0mm,0mm,0mm" style="mso-fit-shape-to-text:t;">
                <w:txbxContent>
                  <w:p>
                    <w:pPr>
                      <w:pStyle w:val="14"/>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rPr>
        <w:rFonts w:hint="default"/>
        <w:lang w:val="en-US"/>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center"/>
      <w:rPr>
        <w:rFonts w:hint="default" w:eastAsia="仿宋"/>
        <w:lang w:val="en-US" w:eastAsia="zh-CN"/>
      </w:rPr>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center"/>
      <w:rPr>
        <w:rFonts w:hint="default" w:eastAsia="仿宋"/>
        <w:lang w:val="en-US" w:eastAsia="zh-CN"/>
      </w:rPr>
    </w:pP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center"/>
      <w:rPr>
        <w:rFonts w:hint="default" w:eastAsia="仿宋"/>
        <w:lang w:val="en-US" w:eastAsia="zh-CN"/>
      </w:rPr>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center"/>
      <w:rPr>
        <w:rFonts w:hint="default" w:eastAsia="仿宋"/>
        <w:lang w:val="en-US" w:eastAsia="zh-CN"/>
      </w:rPr>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center"/>
      <w:rPr>
        <w:rFonts w:hint="default" w:eastAsia="仿宋"/>
        <w:lang w:val="en-US" w:eastAsia="zh-CN"/>
      </w:rPr>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center"/>
      <w:rPr>
        <w:rFonts w:hint="default" w:eastAsia="仿宋"/>
        <w:lang w:val="en-US" w:eastAsia="zh-CN"/>
      </w:rPr>
    </w:pP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pBdr>
        <w:bottom w:val="none" w:color="auto" w:sz="0" w:space="1"/>
      </w:pBdr>
      <w:jc w:val="center"/>
      <w:rPr>
        <w:rFonts w:hint="default" w:eastAsia="仿宋"/>
        <w:lang w:val="en-US" w:eastAsia="zh-CN"/>
      </w:rPr>
    </w:pP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jc w:val="center"/>
      <w:rPr>
        <w:rFonts w:hint="default" w:eastAsia="仿宋"/>
        <w:lang w:val="en-US" w:eastAsia="zh-CN"/>
      </w:rPr>
    </w:pP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left" w:pos="3485"/>
        <w:tab w:val="center" w:pos="4213"/>
      </w:tabs>
      <w:jc w:val="left"/>
      <w:rPr>
        <w:rFonts w:hint="default" w:eastAsia="仿宋"/>
        <w:lang w:val="en-US" w:eastAsia="zh-CN"/>
      </w:rPr>
    </w:pPr>
    <w:r>
      <w:rPr>
        <w:rFonts w:hint="eastAsia"/>
        <w:lang w:val="en-US" w:eastAsia="zh-CN"/>
      </w:rPr>
      <w:tab/>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5"/>
      <w:tabs>
        <w:tab w:val="left" w:pos="3485"/>
        <w:tab w:val="center" w:pos="4213"/>
      </w:tabs>
      <w:jc w:val="left"/>
      <w:rPr>
        <w:rFonts w:hint="default" w:eastAsia="仿宋"/>
        <w:lang w:val="en-US" w:eastAsia="zh-CN"/>
      </w:rPr>
    </w:pPr>
    <w:r>
      <w:rPr>
        <w:rFonts w:hint="eastAsia"/>
        <w:lang w:val="en-US" w:eastAsia="zh-CN"/>
      </w:rPr>
      <w:tab/>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ED8559"/>
    <w:multiLevelType w:val="singleLevel"/>
    <w:tmpl w:val="ADED8559"/>
    <w:lvl w:ilvl="0" w:tentative="0">
      <w:start w:val="1"/>
      <w:numFmt w:val="chineseCounting"/>
      <w:suff w:val="nothing"/>
      <w:lvlText w:val="（%1）"/>
      <w:lvlJc w:val="left"/>
      <w:rPr>
        <w:rFonts w:hint="eastAsia"/>
      </w:rPr>
    </w:lvl>
  </w:abstractNum>
  <w:abstractNum w:abstractNumId="1">
    <w:nsid w:val="BE016951"/>
    <w:multiLevelType w:val="singleLevel"/>
    <w:tmpl w:val="BE016951"/>
    <w:lvl w:ilvl="0" w:tentative="0">
      <w:start w:val="2"/>
      <w:numFmt w:val="decimal"/>
      <w:suff w:val="nothing"/>
      <w:lvlText w:val="（%1）"/>
      <w:lvlJc w:val="left"/>
    </w:lvl>
  </w:abstractNum>
  <w:abstractNum w:abstractNumId="2">
    <w:nsid w:val="C099E918"/>
    <w:multiLevelType w:val="singleLevel"/>
    <w:tmpl w:val="C099E918"/>
    <w:lvl w:ilvl="0" w:tentative="0">
      <w:start w:val="2"/>
      <w:numFmt w:val="decimal"/>
      <w:suff w:val="nothing"/>
      <w:lvlText w:val="%1、"/>
      <w:lvlJc w:val="left"/>
    </w:lvl>
  </w:abstractNum>
  <w:abstractNum w:abstractNumId="3">
    <w:nsid w:val="D774C371"/>
    <w:multiLevelType w:val="singleLevel"/>
    <w:tmpl w:val="D774C371"/>
    <w:lvl w:ilvl="0" w:tentative="0">
      <w:start w:val="2"/>
      <w:numFmt w:val="chineseCounting"/>
      <w:suff w:val="nothing"/>
      <w:lvlText w:val="%1、"/>
      <w:lvlJc w:val="left"/>
      <w:rPr>
        <w:rFonts w:hint="eastAsia"/>
      </w:rPr>
    </w:lvl>
  </w:abstractNum>
  <w:abstractNum w:abstractNumId="4">
    <w:nsid w:val="D7BEFEB8"/>
    <w:multiLevelType w:val="singleLevel"/>
    <w:tmpl w:val="D7BEFEB8"/>
    <w:lvl w:ilvl="0" w:tentative="0">
      <w:start w:val="1"/>
      <w:numFmt w:val="decimal"/>
      <w:suff w:val="nothing"/>
      <w:lvlText w:val="%1、"/>
      <w:lvlJc w:val="left"/>
    </w:lvl>
  </w:abstractNum>
  <w:abstractNum w:abstractNumId="5">
    <w:nsid w:val="DC2B3DC6"/>
    <w:multiLevelType w:val="singleLevel"/>
    <w:tmpl w:val="DC2B3DC6"/>
    <w:lvl w:ilvl="0" w:tentative="0">
      <w:start w:val="1"/>
      <w:numFmt w:val="decimal"/>
      <w:suff w:val="nothing"/>
      <w:lvlText w:val="%1、"/>
      <w:lvlJc w:val="left"/>
    </w:lvl>
  </w:abstractNum>
  <w:abstractNum w:abstractNumId="6">
    <w:nsid w:val="EA8E91EB"/>
    <w:multiLevelType w:val="singleLevel"/>
    <w:tmpl w:val="EA8E91EB"/>
    <w:lvl w:ilvl="0" w:tentative="0">
      <w:start w:val="1"/>
      <w:numFmt w:val="decimal"/>
      <w:suff w:val="nothing"/>
      <w:lvlText w:val="（%1）"/>
      <w:lvlJc w:val="left"/>
    </w:lvl>
  </w:abstractNum>
  <w:abstractNum w:abstractNumId="7">
    <w:nsid w:val="03C59538"/>
    <w:multiLevelType w:val="singleLevel"/>
    <w:tmpl w:val="03C59538"/>
    <w:lvl w:ilvl="0" w:tentative="0">
      <w:start w:val="1"/>
      <w:numFmt w:val="decimal"/>
      <w:suff w:val="nothing"/>
      <w:lvlText w:val="%1、"/>
      <w:lvlJc w:val="left"/>
    </w:lvl>
  </w:abstractNum>
  <w:abstractNum w:abstractNumId="8">
    <w:nsid w:val="04D869CF"/>
    <w:multiLevelType w:val="singleLevel"/>
    <w:tmpl w:val="04D869CF"/>
    <w:lvl w:ilvl="0" w:tentative="0">
      <w:start w:val="1"/>
      <w:numFmt w:val="decimal"/>
      <w:suff w:val="nothing"/>
      <w:lvlText w:val="%1、"/>
      <w:lvlJc w:val="left"/>
    </w:lvl>
  </w:abstractNum>
  <w:abstractNum w:abstractNumId="9">
    <w:nsid w:val="1618ABCA"/>
    <w:multiLevelType w:val="singleLevel"/>
    <w:tmpl w:val="1618ABCA"/>
    <w:lvl w:ilvl="0" w:tentative="0">
      <w:start w:val="4"/>
      <w:numFmt w:val="chineseCounting"/>
      <w:suff w:val="nothing"/>
      <w:lvlText w:val="%1、"/>
      <w:lvlJc w:val="left"/>
      <w:rPr>
        <w:rFonts w:hint="eastAsia"/>
      </w:rPr>
    </w:lvl>
  </w:abstractNum>
  <w:abstractNum w:abstractNumId="10">
    <w:nsid w:val="1627327E"/>
    <w:multiLevelType w:val="singleLevel"/>
    <w:tmpl w:val="1627327E"/>
    <w:lvl w:ilvl="0" w:tentative="0">
      <w:start w:val="2"/>
      <w:numFmt w:val="decimal"/>
      <w:suff w:val="nothing"/>
      <w:lvlText w:val="%1、"/>
      <w:lvlJc w:val="left"/>
    </w:lvl>
  </w:abstractNum>
  <w:abstractNum w:abstractNumId="11">
    <w:nsid w:val="1864F626"/>
    <w:multiLevelType w:val="singleLevel"/>
    <w:tmpl w:val="1864F626"/>
    <w:lvl w:ilvl="0" w:tentative="0">
      <w:start w:val="1"/>
      <w:numFmt w:val="lowerLetter"/>
      <w:lvlText w:val="%1."/>
      <w:lvlJc w:val="left"/>
      <w:pPr>
        <w:ind w:left="425" w:hanging="425"/>
      </w:pPr>
      <w:rPr>
        <w:rFonts w:hint="default"/>
        <w:b w:val="0"/>
        <w:bCs w:val="0"/>
      </w:rPr>
    </w:lvl>
  </w:abstractNum>
  <w:abstractNum w:abstractNumId="12">
    <w:nsid w:val="1D03013D"/>
    <w:multiLevelType w:val="singleLevel"/>
    <w:tmpl w:val="1D03013D"/>
    <w:lvl w:ilvl="0" w:tentative="0">
      <w:start w:val="2"/>
      <w:numFmt w:val="decimal"/>
      <w:suff w:val="nothing"/>
      <w:lvlText w:val="%1、"/>
      <w:lvlJc w:val="left"/>
      <w:pPr>
        <w:ind w:left="540" w:leftChars="0" w:firstLine="0" w:firstLineChars="0"/>
      </w:pPr>
    </w:lvl>
  </w:abstractNum>
  <w:abstractNum w:abstractNumId="13">
    <w:nsid w:val="1F91DB30"/>
    <w:multiLevelType w:val="singleLevel"/>
    <w:tmpl w:val="1F91DB30"/>
    <w:lvl w:ilvl="0" w:tentative="0">
      <w:start w:val="1"/>
      <w:numFmt w:val="decimal"/>
      <w:suff w:val="nothing"/>
      <w:lvlText w:val="%1、"/>
      <w:lvlJc w:val="left"/>
    </w:lvl>
  </w:abstractNum>
  <w:abstractNum w:abstractNumId="14">
    <w:nsid w:val="2091E0B3"/>
    <w:multiLevelType w:val="singleLevel"/>
    <w:tmpl w:val="2091E0B3"/>
    <w:lvl w:ilvl="0" w:tentative="0">
      <w:start w:val="2"/>
      <w:numFmt w:val="decimal"/>
      <w:suff w:val="nothing"/>
      <w:lvlText w:val="（%1）"/>
      <w:lvlJc w:val="left"/>
    </w:lvl>
  </w:abstractNum>
  <w:abstractNum w:abstractNumId="15">
    <w:nsid w:val="30DA06F9"/>
    <w:multiLevelType w:val="singleLevel"/>
    <w:tmpl w:val="30DA06F9"/>
    <w:lvl w:ilvl="0" w:tentative="0">
      <w:start w:val="1"/>
      <w:numFmt w:val="decimal"/>
      <w:suff w:val="nothing"/>
      <w:lvlText w:val="%1、"/>
      <w:lvlJc w:val="left"/>
    </w:lvl>
  </w:abstractNum>
  <w:abstractNum w:abstractNumId="16">
    <w:nsid w:val="4F352B49"/>
    <w:multiLevelType w:val="singleLevel"/>
    <w:tmpl w:val="4F352B49"/>
    <w:lvl w:ilvl="0" w:tentative="0">
      <w:start w:val="1"/>
      <w:numFmt w:val="decimal"/>
      <w:suff w:val="nothing"/>
      <w:lvlText w:val="（%1）"/>
      <w:lvlJc w:val="left"/>
    </w:lvl>
  </w:abstractNum>
  <w:abstractNum w:abstractNumId="17">
    <w:nsid w:val="5896E3B5"/>
    <w:multiLevelType w:val="singleLevel"/>
    <w:tmpl w:val="5896E3B5"/>
    <w:lvl w:ilvl="0" w:tentative="0">
      <w:start w:val="1"/>
      <w:numFmt w:val="decimal"/>
      <w:suff w:val="nothing"/>
      <w:lvlText w:val="%1、"/>
      <w:lvlJc w:val="left"/>
    </w:lvl>
  </w:abstractNum>
  <w:abstractNum w:abstractNumId="18">
    <w:nsid w:val="5A2017C5"/>
    <w:multiLevelType w:val="multilevel"/>
    <w:tmpl w:val="5A2017C5"/>
    <w:lvl w:ilvl="0" w:tentative="0">
      <w:start w:val="1"/>
      <w:numFmt w:val="decimal"/>
      <w:suff w:val="space"/>
      <w:lvlText w:val="%1"/>
      <w:lvlJc w:val="left"/>
      <w:pPr>
        <w:ind w:left="0" w:leftChars="0" w:firstLine="0" w:firstLineChars="0"/>
      </w:pPr>
      <w:rPr>
        <w:rFonts w:hint="default"/>
      </w:rPr>
    </w:lvl>
    <w:lvl w:ilvl="1" w:tentative="0">
      <w:start w:val="1"/>
      <w:numFmt w:val="decimal"/>
      <w:suff w:val="space"/>
      <w:lvlText w:val="%1.%2"/>
      <w:lvlJc w:val="left"/>
      <w:pPr>
        <w:ind w:left="0" w:leftChars="0" w:firstLine="0" w:firstLineChars="0"/>
      </w:pPr>
      <w:rPr>
        <w:rFonts w:hint="default"/>
      </w:rPr>
    </w:lvl>
    <w:lvl w:ilvl="2" w:tentative="0">
      <w:start w:val="1"/>
      <w:numFmt w:val="decimal"/>
      <w:suff w:val="space"/>
      <w:lvlText w:val="%1.%2.%3"/>
      <w:lvlJc w:val="left"/>
      <w:pPr>
        <w:ind w:left="0" w:leftChars="0" w:firstLine="0" w:firstLineChars="0"/>
      </w:pPr>
      <w:rPr>
        <w:rFonts w:hint="default"/>
      </w:rPr>
    </w:lvl>
    <w:lvl w:ilvl="3" w:tentative="0">
      <w:start w:val="1"/>
      <w:numFmt w:val="decimal"/>
      <w:suff w:val="space"/>
      <w:lvlText w:val="%1.%2.%3.%4"/>
      <w:lvlJc w:val="left"/>
      <w:pPr>
        <w:ind w:left="0" w:leftChars="0" w:firstLine="0" w:firstLineChars="0"/>
      </w:pPr>
      <w:rPr>
        <w:rFonts w:hint="default"/>
      </w:rPr>
    </w:lvl>
    <w:lvl w:ilvl="4" w:tentative="0">
      <w:start w:val="1"/>
      <w:numFmt w:val="decimal"/>
      <w:suff w:val="space"/>
      <w:lvlText w:val="%1.%2.%3.%4.%5"/>
      <w:lvlJc w:val="left"/>
      <w:pPr>
        <w:ind w:left="0" w:leftChars="0" w:firstLine="0" w:firstLineChars="0"/>
      </w:pPr>
      <w:rPr>
        <w:rFonts w:hint="default"/>
      </w:rPr>
    </w:lvl>
    <w:lvl w:ilvl="5" w:tentative="0">
      <w:start w:val="1"/>
      <w:numFmt w:val="decimal"/>
      <w:suff w:val="space"/>
      <w:lvlText w:val="%1.%2.%3.%4.%5.%6"/>
      <w:lvlJc w:val="left"/>
      <w:pPr>
        <w:ind w:left="0" w:leftChars="0" w:firstLine="0" w:firstLineChars="0"/>
      </w:pPr>
      <w:rPr>
        <w:rFonts w:hint="default"/>
      </w:rPr>
    </w:lvl>
    <w:lvl w:ilvl="6" w:tentative="0">
      <w:start w:val="1"/>
      <w:numFmt w:val="decimal"/>
      <w:suff w:val="space"/>
      <w:lvlText w:val="%1.%2.%3.%4.%5.%6.%7"/>
      <w:lvlJc w:val="left"/>
      <w:pPr>
        <w:ind w:left="0" w:leftChars="0" w:firstLine="0" w:firstLineChars="0"/>
      </w:pPr>
      <w:rPr>
        <w:rFonts w:hint="default"/>
      </w:rPr>
    </w:lvl>
    <w:lvl w:ilvl="7" w:tentative="0">
      <w:start w:val="1"/>
      <w:numFmt w:val="decimal"/>
      <w:suff w:val="space"/>
      <w:lvlText w:val="%1.%2.%3.%4.%5.%6.%7.%8"/>
      <w:lvlJc w:val="left"/>
      <w:pPr>
        <w:ind w:left="0" w:leftChars="0" w:firstLine="0" w:firstLineChars="0"/>
      </w:pPr>
      <w:rPr>
        <w:rFonts w:hint="default"/>
      </w:rPr>
    </w:lvl>
    <w:lvl w:ilvl="8" w:tentative="0">
      <w:start w:val="1"/>
      <w:numFmt w:val="decimal"/>
      <w:suff w:val="space"/>
      <w:lvlText w:val="%1.%2.%3.%4.%5.%6.%7.%8.%9"/>
      <w:lvlJc w:val="left"/>
      <w:pPr>
        <w:ind w:left="0" w:leftChars="0" w:firstLine="0" w:firstLineChars="0"/>
      </w:pPr>
      <w:rPr>
        <w:rFonts w:hint="default"/>
      </w:rPr>
    </w:lvl>
  </w:abstractNum>
  <w:abstractNum w:abstractNumId="19">
    <w:nsid w:val="630FD3DA"/>
    <w:multiLevelType w:val="singleLevel"/>
    <w:tmpl w:val="630FD3DA"/>
    <w:lvl w:ilvl="0" w:tentative="0">
      <w:start w:val="1"/>
      <w:numFmt w:val="decimal"/>
      <w:suff w:val="nothing"/>
      <w:lvlText w:val="（%1）"/>
      <w:lvlJc w:val="left"/>
    </w:lvl>
  </w:abstractNum>
  <w:abstractNum w:abstractNumId="20">
    <w:nsid w:val="68B7DA76"/>
    <w:multiLevelType w:val="singleLevel"/>
    <w:tmpl w:val="68B7DA76"/>
    <w:lvl w:ilvl="0" w:tentative="0">
      <w:start w:val="1"/>
      <w:numFmt w:val="decimal"/>
      <w:suff w:val="nothing"/>
      <w:lvlText w:val="（%1）"/>
      <w:lvlJc w:val="left"/>
    </w:lvl>
  </w:abstractNum>
  <w:abstractNum w:abstractNumId="21">
    <w:nsid w:val="6DC9120D"/>
    <w:multiLevelType w:val="singleLevel"/>
    <w:tmpl w:val="6DC9120D"/>
    <w:lvl w:ilvl="0" w:tentative="0">
      <w:start w:val="1"/>
      <w:numFmt w:val="decimal"/>
      <w:suff w:val="nothing"/>
      <w:lvlText w:val="%1、"/>
      <w:lvlJc w:val="left"/>
    </w:lvl>
  </w:abstractNum>
  <w:abstractNum w:abstractNumId="22">
    <w:nsid w:val="732DC3DD"/>
    <w:multiLevelType w:val="singleLevel"/>
    <w:tmpl w:val="732DC3DD"/>
    <w:lvl w:ilvl="0" w:tentative="0">
      <w:start w:val="2"/>
      <w:numFmt w:val="decimal"/>
      <w:suff w:val="nothing"/>
      <w:lvlText w:val="%1、"/>
      <w:lvlJc w:val="left"/>
    </w:lvl>
  </w:abstractNum>
  <w:abstractNum w:abstractNumId="23">
    <w:nsid w:val="7E0C0B85"/>
    <w:multiLevelType w:val="singleLevel"/>
    <w:tmpl w:val="7E0C0B85"/>
    <w:lvl w:ilvl="0" w:tentative="0">
      <w:start w:val="2"/>
      <w:numFmt w:val="decimal"/>
      <w:suff w:val="nothing"/>
      <w:lvlText w:val="%1）"/>
      <w:lvlJc w:val="left"/>
    </w:lvl>
  </w:abstractNum>
  <w:num w:numId="1">
    <w:abstractNumId w:val="6"/>
  </w:num>
  <w:num w:numId="2">
    <w:abstractNumId w:val="17"/>
  </w:num>
  <w:num w:numId="3">
    <w:abstractNumId w:val="12"/>
  </w:num>
  <w:num w:numId="4">
    <w:abstractNumId w:val="5"/>
  </w:num>
  <w:num w:numId="5">
    <w:abstractNumId w:val="21"/>
  </w:num>
  <w:num w:numId="6">
    <w:abstractNumId w:val="13"/>
  </w:num>
  <w:num w:numId="7">
    <w:abstractNumId w:val="19"/>
  </w:num>
  <w:num w:numId="8">
    <w:abstractNumId w:val="0"/>
  </w:num>
  <w:num w:numId="9">
    <w:abstractNumId w:val="8"/>
  </w:num>
  <w:num w:numId="10">
    <w:abstractNumId w:val="18"/>
  </w:num>
  <w:num w:numId="11">
    <w:abstractNumId w:val="11"/>
  </w:num>
  <w:num w:numId="12">
    <w:abstractNumId w:val="10"/>
  </w:num>
  <w:num w:numId="13">
    <w:abstractNumId w:val="16"/>
  </w:num>
  <w:num w:numId="14">
    <w:abstractNumId w:val="2"/>
  </w:num>
  <w:num w:numId="15">
    <w:abstractNumId w:val="14"/>
  </w:num>
  <w:num w:numId="16">
    <w:abstractNumId w:val="1"/>
  </w:num>
  <w:num w:numId="17">
    <w:abstractNumId w:val="20"/>
  </w:num>
  <w:num w:numId="18">
    <w:abstractNumId w:val="15"/>
  </w:num>
  <w:num w:numId="19">
    <w:abstractNumId w:val="9"/>
  </w:num>
  <w:num w:numId="20">
    <w:abstractNumId w:val="22"/>
  </w:num>
  <w:num w:numId="21">
    <w:abstractNumId w:val="3"/>
  </w:num>
  <w:num w:numId="22">
    <w:abstractNumId w:val="4"/>
  </w:num>
  <w:num w:numId="23">
    <w:abstractNumId w:val="7"/>
  </w:num>
  <w:num w:numId="24">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945F64"/>
    <w:rsid w:val="0FCE241B"/>
    <w:rsid w:val="154A6259"/>
    <w:rsid w:val="26C332B4"/>
    <w:rsid w:val="32723707"/>
    <w:rsid w:val="48124F67"/>
    <w:rsid w:val="51157C70"/>
    <w:rsid w:val="51917A0C"/>
    <w:rsid w:val="5FEB6A79"/>
    <w:rsid w:val="60D045D6"/>
    <w:rsid w:val="618544DC"/>
    <w:rsid w:val="6DB5450C"/>
    <w:rsid w:val="6FBA1789"/>
    <w:rsid w:val="74C873F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仿宋" w:asciiTheme="minorAscii" w:hAnsiTheme="minorAscii" w:cstheme="minorBidi"/>
      <w:kern w:val="2"/>
      <w:sz w:val="24"/>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rFonts w:eastAsia="黑体"/>
      <w:kern w:val="44"/>
      <w:sz w:val="32"/>
    </w:rPr>
  </w:style>
  <w:style w:type="paragraph" w:styleId="3">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sz w:val="28"/>
    </w:rPr>
  </w:style>
  <w:style w:type="paragraph" w:styleId="4">
    <w:name w:val="heading 3"/>
    <w:basedOn w:val="1"/>
    <w:next w:val="1"/>
    <w:unhideWhenUsed/>
    <w:qFormat/>
    <w:uiPriority w:val="0"/>
    <w:pPr>
      <w:keepNext/>
      <w:keepLines/>
      <w:spacing w:before="260" w:beforeLines="0" w:beforeAutospacing="0" w:after="260" w:afterLines="0" w:afterAutospacing="0" w:line="413" w:lineRule="auto"/>
      <w:outlineLvl w:val="2"/>
    </w:pPr>
    <w:rPr>
      <w:rFonts w:eastAsia="黑体" w:asciiTheme="minorAscii" w:hAnsiTheme="minorAscii"/>
      <w:sz w:val="28"/>
    </w:rPr>
  </w:style>
  <w:style w:type="paragraph" w:styleId="5">
    <w:name w:val="heading 4"/>
    <w:basedOn w:val="1"/>
    <w:next w:val="1"/>
    <w:qFormat/>
    <w:uiPriority w:val="1"/>
    <w:pPr>
      <w:ind w:left="293"/>
      <w:outlineLvl w:val="4"/>
    </w:pPr>
    <w:rPr>
      <w:rFonts w:ascii="仿宋" w:hAnsi="仿宋" w:eastAsia="仿宋" w:cs="仿宋"/>
      <w:b/>
      <w:bCs/>
      <w:sz w:val="24"/>
      <w:szCs w:val="24"/>
      <w:lang w:val="zh-CN" w:eastAsia="zh-CN" w:bidi="zh-CN"/>
    </w:rPr>
  </w:style>
  <w:style w:type="character" w:default="1" w:styleId="21">
    <w:name w:val="Default Paragraph Font"/>
    <w:semiHidden/>
    <w:qFormat/>
    <w:uiPriority w:val="0"/>
  </w:style>
  <w:style w:type="table" w:default="1" w:styleId="19">
    <w:name w:val="Normal Table"/>
    <w:semiHidden/>
    <w:qFormat/>
    <w:uiPriority w:val="0"/>
    <w:tblPr>
      <w:tblCellMar>
        <w:top w:w="0" w:type="dxa"/>
        <w:left w:w="108" w:type="dxa"/>
        <w:bottom w:w="0" w:type="dxa"/>
        <w:right w:w="108" w:type="dxa"/>
      </w:tblCellMar>
    </w:tblPr>
  </w:style>
  <w:style w:type="paragraph" w:styleId="6">
    <w:name w:val="Normal Indent"/>
    <w:basedOn w:val="1"/>
    <w:qFormat/>
    <w:uiPriority w:val="0"/>
    <w:pPr>
      <w:ind w:firstLine="420" w:firstLineChars="200"/>
    </w:pPr>
    <w:rPr>
      <w:sz w:val="21"/>
    </w:rPr>
  </w:style>
  <w:style w:type="paragraph" w:styleId="7">
    <w:name w:val="Body Text 3"/>
    <w:basedOn w:val="1"/>
    <w:qFormat/>
    <w:uiPriority w:val="0"/>
    <w:pPr>
      <w:spacing w:after="120" w:afterLines="0"/>
    </w:pPr>
    <w:rPr>
      <w:sz w:val="16"/>
      <w:szCs w:val="16"/>
    </w:rPr>
  </w:style>
  <w:style w:type="paragraph" w:styleId="8">
    <w:name w:val="Body Text"/>
    <w:basedOn w:val="1"/>
    <w:next w:val="9"/>
    <w:qFormat/>
    <w:uiPriority w:val="1"/>
    <w:rPr>
      <w:rFonts w:ascii="宋体" w:hAnsi="宋体" w:eastAsia="宋体" w:cs="宋体"/>
      <w:sz w:val="24"/>
      <w:szCs w:val="24"/>
      <w:lang w:val="zh-CN" w:eastAsia="zh-CN" w:bidi="zh-CN"/>
    </w:rPr>
  </w:style>
  <w:style w:type="paragraph" w:customStyle="1" w:styleId="9">
    <w:name w:val="1"/>
    <w:basedOn w:val="10"/>
    <w:next w:val="11"/>
    <w:qFormat/>
    <w:uiPriority w:val="0"/>
    <w:pPr>
      <w:spacing w:afterLines="50" w:line="360" w:lineRule="auto"/>
    </w:pPr>
    <w:rPr>
      <w:rFonts w:ascii="宋体" w:hAnsi="宋体"/>
      <w:b/>
      <w:sz w:val="30"/>
    </w:rPr>
  </w:style>
  <w:style w:type="paragraph" w:customStyle="1" w:styleId="10">
    <w:name w:val="正文 New New New"/>
    <w:qFormat/>
    <w:uiPriority w:val="0"/>
    <w:pPr>
      <w:widowControl w:val="0"/>
      <w:jc w:val="both"/>
    </w:pPr>
    <w:rPr>
      <w:rFonts w:ascii="Times New Roman" w:hAnsi="Times New Roman" w:eastAsia="宋体" w:cs="Times New Roman"/>
      <w:kern w:val="2"/>
      <w:sz w:val="21"/>
      <w:szCs w:val="21"/>
      <w:lang w:val="en-US" w:eastAsia="zh-CN" w:bidi="ar-SA"/>
    </w:rPr>
  </w:style>
  <w:style w:type="paragraph" w:styleId="11">
    <w:name w:val="Body Text Indent"/>
    <w:basedOn w:val="1"/>
    <w:next w:val="12"/>
    <w:qFormat/>
    <w:uiPriority w:val="0"/>
    <w:pPr>
      <w:ind w:firstLine="560" w:firstLineChars="200"/>
    </w:pPr>
    <w:rPr>
      <w:rFonts w:ascii="宋体" w:hAnsi="宋体"/>
      <w:sz w:val="28"/>
    </w:rPr>
  </w:style>
  <w:style w:type="paragraph" w:customStyle="1" w:styleId="12">
    <w:name w:val="font5"/>
    <w:basedOn w:val="1"/>
    <w:qFormat/>
    <w:uiPriority w:val="0"/>
    <w:pPr>
      <w:widowControl/>
      <w:spacing w:before="100" w:beforeLines="0" w:beforeAutospacing="1" w:after="100" w:afterLines="0" w:afterAutospacing="1"/>
      <w:jc w:val="left"/>
    </w:pPr>
    <w:rPr>
      <w:rFonts w:hint="eastAsia" w:ascii="宋体" w:hAnsi="宋体"/>
      <w:kern w:val="0"/>
      <w:sz w:val="18"/>
    </w:rPr>
  </w:style>
  <w:style w:type="paragraph" w:styleId="13">
    <w:name w:val="Body Text Indent 2"/>
    <w:basedOn w:val="1"/>
    <w:qFormat/>
    <w:uiPriority w:val="0"/>
    <w:pPr>
      <w:spacing w:after="120" w:afterLines="0" w:afterAutospacing="0" w:line="480" w:lineRule="auto"/>
      <w:ind w:left="420" w:leftChars="200"/>
    </w:pPr>
  </w:style>
  <w:style w:type="paragraph" w:styleId="14">
    <w:name w:val="footer"/>
    <w:basedOn w:val="1"/>
    <w:qFormat/>
    <w:uiPriority w:val="0"/>
    <w:pPr>
      <w:tabs>
        <w:tab w:val="center" w:pos="4153"/>
        <w:tab w:val="right" w:pos="8306"/>
      </w:tabs>
      <w:snapToGrid w:val="0"/>
      <w:jc w:val="left"/>
    </w:pPr>
    <w:rPr>
      <w:sz w:val="18"/>
    </w:rPr>
  </w:style>
  <w:style w:type="paragraph" w:styleId="1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6">
    <w:name w:val="toc 1"/>
    <w:basedOn w:val="1"/>
    <w:next w:val="1"/>
    <w:qFormat/>
    <w:uiPriority w:val="0"/>
  </w:style>
  <w:style w:type="paragraph" w:styleId="17">
    <w:name w:val="toc 2"/>
    <w:basedOn w:val="1"/>
    <w:next w:val="1"/>
    <w:qFormat/>
    <w:uiPriority w:val="0"/>
    <w:pPr>
      <w:ind w:left="420" w:leftChars="200"/>
    </w:pPr>
  </w:style>
  <w:style w:type="paragraph" w:styleId="18">
    <w:name w:val="Body Text First Indent"/>
    <w:basedOn w:val="8"/>
    <w:next w:val="1"/>
    <w:qFormat/>
    <w:uiPriority w:val="0"/>
    <w:pPr>
      <w:ind w:firstLine="420" w:firstLineChars="100"/>
    </w:pPr>
  </w:style>
  <w:style w:type="table" w:styleId="20">
    <w:name w:val="Table Grid"/>
    <w:basedOn w:val="19"/>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22">
    <w:name w:val="正文文字"/>
    <w:basedOn w:val="6"/>
    <w:uiPriority w:val="0"/>
    <w:pPr>
      <w:spacing w:line="480" w:lineRule="exact"/>
      <w:ind w:firstLine="200"/>
    </w:pPr>
    <w:rPr>
      <w:sz w:val="24"/>
    </w:rPr>
  </w:style>
  <w:style w:type="paragraph" w:styleId="23">
    <w:name w:val="List Paragraph"/>
    <w:basedOn w:val="1"/>
    <w:qFormat/>
    <w:uiPriority w:val="1"/>
    <w:pPr>
      <w:ind w:left="953" w:firstLine="480"/>
    </w:pPr>
    <w:rPr>
      <w:rFonts w:ascii="宋体" w:hAnsi="宋体" w:eastAsia="宋体" w:cs="宋体"/>
      <w:lang w:val="zh-CN" w:eastAsia="zh-CN" w:bidi="zh-CN"/>
    </w:rPr>
  </w:style>
  <w:style w:type="paragraph" w:customStyle="1" w:styleId="24">
    <w:name w:val="Table Paragraph"/>
    <w:basedOn w:val="1"/>
    <w:qFormat/>
    <w:uiPriority w:val="1"/>
    <w:rPr>
      <w:rFonts w:ascii="宋体" w:hAnsi="宋体" w:eastAsia="宋体" w:cs="宋体"/>
      <w:lang w:val="zh-CN" w:eastAsia="zh-CN" w:bidi="zh-CN"/>
    </w:rPr>
  </w:style>
  <w:style w:type="paragraph" w:customStyle="1" w:styleId="25">
    <w:name w:val="WPSOffice手动目录 1"/>
    <w:uiPriority w:val="0"/>
    <w:pPr>
      <w:ind w:leftChars="0"/>
    </w:pPr>
    <w:rPr>
      <w:rFonts w:asciiTheme="minorHAnsi" w:hAnsiTheme="minorHAnsi" w:eastAsiaTheme="minorEastAsia" w:cstheme="minorBidi"/>
      <w:sz w:val="20"/>
      <w:szCs w:val="20"/>
    </w:rPr>
  </w:style>
  <w:style w:type="paragraph" w:customStyle="1" w:styleId="26">
    <w:name w:val="WPSOffice手动目录 2"/>
    <w:uiPriority w:val="0"/>
    <w:pPr>
      <w:ind w:leftChars="200"/>
    </w:pPr>
    <w:rPr>
      <w:rFonts w:asciiTheme="minorHAnsi" w:hAnsiTheme="minorHAnsi" w:eastAsiaTheme="minorEastAsia" w:cstheme="minorBidi"/>
      <w:sz w:val="20"/>
      <w:szCs w:val="20"/>
    </w:rPr>
  </w:style>
  <w:style w:type="paragraph" w:customStyle="1" w:styleId="27">
    <w:name w:val="表格标题"/>
    <w:basedOn w:val="1"/>
    <w:qFormat/>
    <w:uiPriority w:val="0"/>
    <w:pPr>
      <w:adjustRightInd w:val="0"/>
      <w:snapToGrid w:val="0"/>
      <w:spacing w:before="120" w:after="40"/>
      <w:ind w:firstLine="227"/>
      <w:jc w:val="left"/>
    </w:pPr>
    <w:rPr>
      <w:rFonts w:eastAsia="黑体"/>
      <w:iCs/>
      <w:color w:val="000000"/>
      <w:kern w:val="0"/>
    </w:rPr>
  </w:style>
  <w:style w:type="paragraph" w:customStyle="1" w:styleId="28">
    <w:name w:val="表格"/>
    <w:basedOn w:val="1"/>
    <w:qFormat/>
    <w:uiPriority w:val="0"/>
    <w:pPr>
      <w:widowControl/>
      <w:adjustRightInd w:val="0"/>
      <w:snapToGrid w:val="0"/>
      <w:jc w:val="center"/>
    </w:pPr>
    <w:rPr>
      <w:kern w:val="0"/>
      <w:sz w:val="21"/>
      <w:szCs w:val="21"/>
    </w:rPr>
  </w:style>
  <w:style w:type="table" w:customStyle="1" w:styleId="29">
    <w:name w:val="Table Normal"/>
    <w:semiHidden/>
    <w:unhideWhenUsed/>
    <w:qFormat/>
    <w:uiPriority w:val="0"/>
    <w:tblPr>
      <w:tblCellMar>
        <w:top w:w="0" w:type="dxa"/>
        <w:left w:w="0" w:type="dxa"/>
        <w:bottom w:w="0" w:type="dxa"/>
        <w:right w:w="0" w:type="dxa"/>
      </w:tblCellMar>
    </w:tblPr>
  </w:style>
  <w:style w:type="paragraph" w:customStyle="1" w:styleId="30">
    <w:name w:val="Body text|1"/>
    <w:basedOn w:val="1"/>
    <w:qFormat/>
    <w:uiPriority w:val="0"/>
    <w:pPr>
      <w:widowControl w:val="0"/>
      <w:shd w:val="clear" w:color="auto" w:fill="auto"/>
      <w:spacing w:after="600" w:line="480" w:lineRule="auto"/>
    </w:pPr>
    <w:rPr>
      <w:rFonts w:ascii="宋体" w:hAnsi="宋体" w:eastAsia="宋体" w:cs="宋体"/>
      <w:sz w:val="28"/>
      <w:szCs w:val="28"/>
      <w:u w:val="none"/>
      <w:shd w:val="clear" w:color="auto" w:fill="auto"/>
      <w:lang w:val="zh-TW" w:eastAsia="zh-TW" w:bidi="zh-TW"/>
    </w:rPr>
  </w:style>
  <w:style w:type="paragraph" w:customStyle="1" w:styleId="31">
    <w:name w:val="Heading #2|1"/>
    <w:basedOn w:val="1"/>
    <w:qFormat/>
    <w:uiPriority w:val="0"/>
    <w:pPr>
      <w:widowControl w:val="0"/>
      <w:shd w:val="clear" w:color="auto" w:fill="auto"/>
      <w:ind w:left="-20"/>
      <w:jc w:val="center"/>
      <w:outlineLvl w:val="1"/>
    </w:pPr>
    <w:rPr>
      <w:rFonts w:ascii="宋体" w:hAnsi="宋体" w:eastAsia="宋体" w:cs="宋体"/>
      <w:sz w:val="44"/>
      <w:szCs w:val="44"/>
      <w:u w:val="none"/>
      <w:shd w:val="clear" w:color="auto" w:fill="auto"/>
      <w:lang w:val="zh-TW" w:eastAsia="zh-TW" w:bidi="zh-TW"/>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header" Target="header3.xml"/><Relationship Id="rId73" Type="http://schemas.openxmlformats.org/officeDocument/2006/relationships/fontTable" Target="fontTable.xml"/><Relationship Id="rId72" Type="http://schemas.openxmlformats.org/officeDocument/2006/relationships/numbering" Target="numbering.xml"/><Relationship Id="rId71" Type="http://schemas.openxmlformats.org/officeDocument/2006/relationships/customXml" Target="../customXml/item1.xml"/><Relationship Id="rId70" Type="http://schemas.openxmlformats.org/officeDocument/2006/relationships/image" Target="media/image35.png"/><Relationship Id="rId7" Type="http://schemas.openxmlformats.org/officeDocument/2006/relationships/footer" Target="footer3.xml"/><Relationship Id="rId69" Type="http://schemas.openxmlformats.org/officeDocument/2006/relationships/image" Target="media/image34.png"/><Relationship Id="rId68" Type="http://schemas.openxmlformats.org/officeDocument/2006/relationships/image" Target="media/image33.emf"/><Relationship Id="rId67" Type="http://schemas.openxmlformats.org/officeDocument/2006/relationships/image" Target="media/image32.png"/><Relationship Id="rId66" Type="http://schemas.openxmlformats.org/officeDocument/2006/relationships/image" Target="media/image31.jpeg"/><Relationship Id="rId65" Type="http://schemas.openxmlformats.org/officeDocument/2006/relationships/image" Target="media/image30.jpeg"/><Relationship Id="rId64" Type="http://schemas.openxmlformats.org/officeDocument/2006/relationships/image" Target="media/image29.jpeg"/><Relationship Id="rId63" Type="http://schemas.openxmlformats.org/officeDocument/2006/relationships/image" Target="media/image28.jpeg"/><Relationship Id="rId62" Type="http://schemas.openxmlformats.org/officeDocument/2006/relationships/image" Target="media/image27.jpeg"/><Relationship Id="rId61" Type="http://schemas.openxmlformats.org/officeDocument/2006/relationships/image" Target="media/image26.jpeg"/><Relationship Id="rId60" Type="http://schemas.openxmlformats.org/officeDocument/2006/relationships/image" Target="media/image25.png"/><Relationship Id="rId6" Type="http://schemas.openxmlformats.org/officeDocument/2006/relationships/footer" Target="footer2.xml"/><Relationship Id="rId59" Type="http://schemas.openxmlformats.org/officeDocument/2006/relationships/image" Target="media/image24.png"/><Relationship Id="rId58" Type="http://schemas.openxmlformats.org/officeDocument/2006/relationships/image" Target="media/image23.jpeg"/><Relationship Id="rId57" Type="http://schemas.openxmlformats.org/officeDocument/2006/relationships/image" Target="media/image22.jpeg"/><Relationship Id="rId56" Type="http://schemas.openxmlformats.org/officeDocument/2006/relationships/image" Target="media/image21.png"/><Relationship Id="rId55" Type="http://schemas.openxmlformats.org/officeDocument/2006/relationships/image" Target="media/image20.png"/><Relationship Id="rId54" Type="http://schemas.openxmlformats.org/officeDocument/2006/relationships/image" Target="media/image19.png"/><Relationship Id="rId53" Type="http://schemas.openxmlformats.org/officeDocument/2006/relationships/image" Target="media/image18.png"/><Relationship Id="rId52" Type="http://schemas.openxmlformats.org/officeDocument/2006/relationships/image" Target="media/image17.png"/><Relationship Id="rId51" Type="http://schemas.openxmlformats.org/officeDocument/2006/relationships/image" Target="media/image16.png"/><Relationship Id="rId50" Type="http://schemas.openxmlformats.org/officeDocument/2006/relationships/image" Target="media/image15.png"/><Relationship Id="rId5" Type="http://schemas.openxmlformats.org/officeDocument/2006/relationships/header" Target="header2.xml"/><Relationship Id="rId49" Type="http://schemas.openxmlformats.org/officeDocument/2006/relationships/image" Target="media/image14.jpeg"/><Relationship Id="rId48" Type="http://schemas.openxmlformats.org/officeDocument/2006/relationships/image" Target="media/image13.png"/><Relationship Id="rId47" Type="http://schemas.openxmlformats.org/officeDocument/2006/relationships/image" Target="media/image12.png"/><Relationship Id="rId46" Type="http://schemas.openxmlformats.org/officeDocument/2006/relationships/image" Target="media/image11.png"/><Relationship Id="rId45" Type="http://schemas.openxmlformats.org/officeDocument/2006/relationships/image" Target="media/image10.png"/><Relationship Id="rId44" Type="http://schemas.openxmlformats.org/officeDocument/2006/relationships/image" Target="media/image9.jpeg"/><Relationship Id="rId43" Type="http://schemas.openxmlformats.org/officeDocument/2006/relationships/image" Target="media/image8.png"/><Relationship Id="rId42" Type="http://schemas.openxmlformats.org/officeDocument/2006/relationships/image" Target="media/image7.png"/><Relationship Id="rId41" Type="http://schemas.openxmlformats.org/officeDocument/2006/relationships/image" Target="media/image6.png"/><Relationship Id="rId40" Type="http://schemas.openxmlformats.org/officeDocument/2006/relationships/image" Target="media/image5.png"/><Relationship Id="rId4" Type="http://schemas.openxmlformats.org/officeDocument/2006/relationships/footer" Target="footer1.xml"/><Relationship Id="rId39" Type="http://schemas.openxmlformats.org/officeDocument/2006/relationships/image" Target="media/image4.png"/><Relationship Id="rId38" Type="http://schemas.openxmlformats.org/officeDocument/2006/relationships/image" Target="media/image3.png"/><Relationship Id="rId37" Type="http://schemas.openxmlformats.org/officeDocument/2006/relationships/image" Target="media/image2.png"/><Relationship Id="rId36" Type="http://schemas.openxmlformats.org/officeDocument/2006/relationships/image" Target="media/image1.png"/><Relationship Id="rId35" Type="http://schemas.openxmlformats.org/officeDocument/2006/relationships/theme" Target="theme/theme1.xml"/><Relationship Id="rId34" Type="http://schemas.openxmlformats.org/officeDocument/2006/relationships/footer" Target="footer9.xml"/><Relationship Id="rId33" Type="http://schemas.openxmlformats.org/officeDocument/2006/relationships/header" Target="header23.xml"/><Relationship Id="rId32" Type="http://schemas.openxmlformats.org/officeDocument/2006/relationships/header" Target="header22.xml"/><Relationship Id="rId31" Type="http://schemas.openxmlformats.org/officeDocument/2006/relationships/header" Target="header21.xml"/><Relationship Id="rId30" Type="http://schemas.openxmlformats.org/officeDocument/2006/relationships/header" Target="header20.xml"/><Relationship Id="rId3" Type="http://schemas.openxmlformats.org/officeDocument/2006/relationships/header" Target="header1.xml"/><Relationship Id="rId29" Type="http://schemas.openxmlformats.org/officeDocument/2006/relationships/header" Target="header19.xml"/><Relationship Id="rId28" Type="http://schemas.openxmlformats.org/officeDocument/2006/relationships/header" Target="header18.xml"/><Relationship Id="rId27" Type="http://schemas.openxmlformats.org/officeDocument/2006/relationships/header" Target="header17.xml"/><Relationship Id="rId26" Type="http://schemas.openxmlformats.org/officeDocument/2006/relationships/header" Target="header16.xml"/><Relationship Id="rId25" Type="http://schemas.openxmlformats.org/officeDocument/2006/relationships/footer" Target="footer8.xml"/><Relationship Id="rId24" Type="http://schemas.openxmlformats.org/officeDocument/2006/relationships/header" Target="header15.xml"/><Relationship Id="rId23" Type="http://schemas.openxmlformats.org/officeDocument/2006/relationships/header" Target="header14.xml"/><Relationship Id="rId22" Type="http://schemas.openxmlformats.org/officeDocument/2006/relationships/header" Target="header13.xml"/><Relationship Id="rId21" Type="http://schemas.openxmlformats.org/officeDocument/2006/relationships/header" Target="header12.xml"/><Relationship Id="rId20" Type="http://schemas.openxmlformats.org/officeDocument/2006/relationships/header" Target="header11.xml"/><Relationship Id="rId2" Type="http://schemas.openxmlformats.org/officeDocument/2006/relationships/settings" Target="settings.xml"/><Relationship Id="rId19" Type="http://schemas.openxmlformats.org/officeDocument/2006/relationships/header" Target="header10.xml"/><Relationship Id="rId18" Type="http://schemas.openxmlformats.org/officeDocument/2006/relationships/header" Target="header9.xml"/><Relationship Id="rId17" Type="http://schemas.openxmlformats.org/officeDocument/2006/relationships/footer" Target="footer7.xml"/><Relationship Id="rId16" Type="http://schemas.openxmlformats.org/officeDocument/2006/relationships/header" Target="header8.xml"/><Relationship Id="rId15" Type="http://schemas.openxmlformats.org/officeDocument/2006/relationships/footer" Target="footer6.xml"/><Relationship Id="rId14" Type="http://schemas.openxmlformats.org/officeDocument/2006/relationships/header" Target="header7.xml"/><Relationship Id="rId13" Type="http://schemas.openxmlformats.org/officeDocument/2006/relationships/footer" Target="footer5.xml"/><Relationship Id="rId12" Type="http://schemas.openxmlformats.org/officeDocument/2006/relationships/footer" Target="footer4.xml"/><Relationship Id="rId11" Type="http://schemas.openxmlformats.org/officeDocument/2006/relationships/header" Target="header6.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Office_11.1.0.11194_F1E327BC-269C-435d-A152-05C5408002CA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2021-12-25T03:46:00Z</dcterms:created>
  <dc:creator>mabo</dc:creator>
  <cp:lastModifiedBy>        大眼瞪小眼 °</cp:lastModifiedBy>
  <dcterms:modified xsi:type="dcterms:W3CDTF">2021-12-31T03:52:04Z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2052-11.1.0.11194</vt:lpwstr>
  </property>
  <property fmtid="{D5CDD505-2E9C-101B-9397-08002B2CF9AE}" pid="3" name="ICV">
    <vt:lpwstr>B97895073FAC43959F7547B27DE398EE</vt:lpwstr>
  </property>
</Properties>
</file>